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9"/>
        <w:rPr>
          <w:szCs w:val="20"/>
        </w:rPr>
      </w:pP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Й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 </w:t>
      </w:r>
      <w:r>
        <w:rPr>
          <w:szCs w:val="20"/>
        </w:rPr>
        <w:t xml:space="preserve">   </w:t>
      </w:r>
      <w:r>
        <w:rPr>
          <w:szCs w:val="20"/>
        </w:rPr>
        <w:t xml:space="preserve">Ф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Ц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/>
    </w:p>
    <w:p>
      <w:pPr>
        <w:pStyle w:val="609"/>
        <w:rPr>
          <w:szCs w:val="20"/>
        </w:rPr>
      </w:pP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Г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>
        <w:rPr>
          <w:szCs w:val="20"/>
        </w:rPr>
        <w:t xml:space="preserve">     </w:t>
      </w:r>
      <w:r>
        <w:rPr>
          <w:szCs w:val="20"/>
        </w:rPr>
        <w:t xml:space="preserve"> О</w:t>
      </w:r>
      <w:r>
        <w:rPr>
          <w:szCs w:val="20"/>
        </w:rPr>
        <w:t xml:space="preserve"> </w:t>
      </w: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Т</w:t>
      </w:r>
      <w:r>
        <w:rPr>
          <w:szCs w:val="20"/>
        </w:rPr>
        <w:t xml:space="preserve"> </w:t>
      </w:r>
      <w:r>
        <w:rPr>
          <w:szCs w:val="20"/>
        </w:rPr>
        <w:t xml:space="preserve">Ь</w:t>
      </w:r>
      <w:r/>
    </w:p>
    <w:p>
      <w:pPr>
        <w:pStyle w:val="609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6343" cy="87146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6343" cy="8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3pt;height:68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02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СОВЕТ  ДЕПУТАТОВ  </w:t>
      </w:r>
      <w:r/>
    </w:p>
    <w:p>
      <w:pPr>
        <w:pStyle w:val="602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  <w:r/>
    </w:p>
    <w:p>
      <w:pPr>
        <w:pStyle w:val="602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БЕЛГОРОДСКОЙ  ОБЛАСТИ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60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Одиннадцатое з</w:t>
      </w:r>
      <w:r>
        <w:rPr>
          <w:b/>
          <w:sz w:val="28"/>
          <w:szCs w:val="28"/>
        </w:rPr>
        <w:t xml:space="preserve">аседание  совета </w:t>
      </w:r>
      <w:r>
        <w:rPr>
          <w:b/>
          <w:sz w:val="28"/>
          <w:szCs w:val="28"/>
        </w:rPr>
        <w:t xml:space="preserve">первого</w:t>
      </w:r>
      <w:r>
        <w:rPr>
          <w:b/>
          <w:sz w:val="28"/>
          <w:szCs w:val="28"/>
        </w:rPr>
        <w:t xml:space="preserve"> созыва</w:t>
      </w:r>
      <w:r/>
    </w:p>
    <w:p>
      <w:pPr>
        <w:pStyle w:val="602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02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 Е Ш Е Н И Е</w:t>
      </w:r>
      <w:r>
        <w:rPr>
          <w:b/>
          <w:sz w:val="28"/>
          <w:szCs w:val="26"/>
        </w:rPr>
      </w:r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22»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мая </w:t>
      </w:r>
      <w:r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                                      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152</w:t>
      </w:r>
      <w:r/>
    </w:p>
    <w:p>
      <w:pPr>
        <w:pStyle w:val="601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2"/>
        <w:jc w:val="both"/>
      </w:pPr>
      <w:r>
        <w:rPr>
          <w:rFonts w:ascii="PT Astra Serif" w:hAnsi="PT Astra Serif"/>
          <w:b/>
          <w:szCs w:val="28"/>
        </w:rPr>
        <w:t xml:space="preserve"> </w:t>
      </w:r>
      <w:r/>
    </w:p>
    <w:p>
      <w:pPr>
        <w:pStyle w:val="622"/>
        <w:jc w:val="center"/>
        <w:rPr>
          <w:b/>
        </w:rPr>
      </w:pPr>
      <w:r>
        <w:rPr>
          <w:b/>
        </w:rPr>
        <w:t xml:space="preserve">Об утверждении Положения о муниципальном жилищном контроле </w:t>
      </w:r>
      <w:r>
        <w:rPr>
          <w:b/>
        </w:rPr>
      </w:r>
      <w:r/>
    </w:p>
    <w:p>
      <w:pPr>
        <w:pStyle w:val="622"/>
        <w:jc w:val="center"/>
      </w:pPr>
      <w:r>
        <w:rPr>
          <w:b/>
        </w:rPr>
        <w:t xml:space="preserve">на территории Борисовского муниципального округа</w:t>
      </w:r>
      <w:r/>
    </w:p>
    <w:p>
      <w:pPr>
        <w:pStyle w:val="601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01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01"/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"https://login.consultant.ru/link/?req=doc&amp;base=LAW&amp;n=511791&amp;dst=1002"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Жилищного кодекса Российской Федерации,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</w:t>
      </w:r>
      <w:r>
        <w:rPr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Федерации»,</w:t>
      </w:r>
      <w:r>
        <w:t xml:space="preserve"> </w:t>
      </w:r>
      <w:r>
        <w:rPr>
          <w:sz w:val="28"/>
          <w:szCs w:val="28"/>
        </w:rPr>
        <w:t xml:space="preserve">от 6 октября 2003 года №</w:t>
      </w:r>
      <w:r>
        <w:rPr>
          <w:sz w:val="28"/>
          <w:szCs w:val="28"/>
        </w:rPr>
        <w:t xml:space="preserve"> 131-ФЗ «</w:t>
      </w:r>
      <w:r>
        <w:rPr>
          <w:sz w:val="28"/>
          <w:szCs w:val="28"/>
        </w:rPr>
        <w:t xml:space="preserve"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</w:t>
      </w:r>
      <w:r>
        <w:rPr>
          <w:sz w:val="28"/>
          <w:szCs w:val="28"/>
        </w:rPr>
        <w:t xml:space="preserve">, от 20 марта 2025 года </w:t>
      </w:r>
      <w:r>
        <w:rPr>
          <w:sz w:val="28"/>
          <w:szCs w:val="28"/>
        </w:rPr>
        <w:t xml:space="preserve">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</w:t>
      </w:r>
      <w:r>
        <w:rPr>
          <w:sz w:val="28"/>
          <w:szCs w:val="28"/>
        </w:rPr>
        <w:t xml:space="preserve">, законом Белгородской области от 25 февраля 2025 года </w:t>
      </w:r>
      <w:r>
        <w:rPr>
          <w:sz w:val="28"/>
          <w:szCs w:val="28"/>
        </w:rPr>
        <w:t xml:space="preserve"> № 451 «</w:t>
      </w:r>
      <w:r>
        <w:rPr>
          <w:sz w:val="28"/>
          <w:szCs w:val="28"/>
        </w:rPr>
        <w:t xml:space="preserve">О преобразовании всех поселений, входящих в состав</w:t>
      </w:r>
      <w:r>
        <w:rPr>
          <w:sz w:val="28"/>
          <w:szCs w:val="28"/>
        </w:rPr>
        <w:t xml:space="preserve"> муниципального района «Борисовский район» Белгородской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"https://login.consultant.ru/link/?req=doc&amp;base=RLAW404&amp;n=107690&amp;dst=100010"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Борисовского муниципального округа Белгородской области,</w:t>
      </w:r>
      <w:r>
        <w:rPr>
          <w:sz w:val="28"/>
          <w:szCs w:val="28"/>
        </w:rPr>
      </w:r>
      <w:r/>
    </w:p>
    <w:p>
      <w:pPr>
        <w:pStyle w:val="601"/>
        <w:ind w:firstLine="709"/>
        <w:jc w:val="both"/>
        <w:spacing w:after="1" w:line="280" w:lineRule="atLeast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</w:r>
      <w:r/>
    </w:p>
    <w:p>
      <w:pPr>
        <w:pStyle w:val="601"/>
        <w:ind w:firstLine="709"/>
        <w:jc w:val="both"/>
        <w:spacing w:after="1" w:line="280" w:lineRule="atLeast"/>
        <w:rPr>
          <w:rFonts w:eastAsia="Calibri"/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Совет депутатов Борисовского муниципального округа </w:t>
      </w:r>
      <w:r>
        <w:rPr>
          <w:rFonts w:eastAsia="Calibri"/>
          <w:b/>
          <w:sz w:val="28"/>
          <w:szCs w:val="28"/>
        </w:rPr>
        <w:t xml:space="preserve">решил:</w:t>
      </w:r>
      <w:r>
        <w:rPr>
          <w:rFonts w:eastAsia="Calibri"/>
          <w:b/>
          <w:sz w:val="28"/>
          <w:szCs w:val="28"/>
        </w:rPr>
      </w:r>
      <w:r/>
    </w:p>
    <w:p>
      <w:pPr>
        <w:pStyle w:val="601"/>
        <w:ind w:firstLine="709"/>
        <w:jc w:val="both"/>
        <w:spacing w:after="1" w:line="280" w:lineRule="atLeas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/>
    </w:p>
    <w:p>
      <w:pPr>
        <w:pStyle w:val="622"/>
        <w:ind w:firstLine="708"/>
        <w:jc w:val="both"/>
      </w:pPr>
      <w:r>
        <w:t xml:space="preserve">1. Утвердить </w:t>
      </w:r>
      <w:r>
        <w:fldChar w:fldCharType="begin"/>
      </w:r>
      <w:r>
        <w:instrText xml:space="preserve"> HYPERLINK \l "P47" \h </w:instrText>
      </w:r>
      <w:r>
        <w:fldChar w:fldCharType="separate"/>
      </w:r>
      <w:r>
        <w:t xml:space="preserve">Положение</w:t>
      </w:r>
      <w:r>
        <w:fldChar w:fldCharType="end"/>
      </w:r>
      <w:r>
        <w:t xml:space="preserve"> </w:t>
      </w:r>
      <w:r>
        <w:t xml:space="preserve">о муниципальном жилищном контроле на территории Борисовского муниципального округа (прилагается).</w:t>
      </w:r>
      <w:r/>
    </w:p>
    <w:p>
      <w:pPr>
        <w:pStyle w:val="622"/>
        <w:ind w:firstLine="708"/>
        <w:jc w:val="both"/>
      </w:pPr>
      <w:r>
        <w:t xml:space="preserve">2. Признать утратившими силу решение Муниципального совета Борисовского района от 27 августа 2021 года № 287</w:t>
      </w:r>
      <w:r>
        <w:t xml:space="preserve"> (в ред. от 25 июля 2025 года № 174)</w:t>
      </w:r>
      <w:r>
        <w:t xml:space="preserve"> «Об утверждении положения о муниципальном жилищном контроле на территории Борисовского района».</w:t>
      </w:r>
      <w:r/>
    </w:p>
    <w:p>
      <w:pPr>
        <w:pStyle w:val="60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Наст</w:t>
      </w:r>
      <w:r>
        <w:rPr>
          <w:rFonts w:eastAsia="Calibri"/>
          <w:sz w:val="28"/>
          <w:szCs w:val="28"/>
        </w:rPr>
        <w:t xml:space="preserve">оящее решение вступает в силу после его официального опубликовани</w:t>
      </w:r>
      <w:r>
        <w:rPr>
          <w:rFonts w:eastAsia="Calibri"/>
          <w:sz w:val="28"/>
          <w:szCs w:val="28"/>
        </w:rPr>
        <w:t xml:space="preserve">я.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60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решение в </w:t>
      </w:r>
      <w:r>
        <w:rPr>
          <w:sz w:val="28"/>
          <w:szCs w:val="28"/>
        </w:rPr>
        <w:t xml:space="preserve">газете «Призыв</w:t>
      </w:r>
      <w:r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сетевом издании «Пр</w:t>
      </w:r>
      <w:r>
        <w:rPr>
          <w:sz w:val="28"/>
          <w:szCs w:val="28"/>
        </w:rPr>
        <w:t xml:space="preserve">изыв 31» и </w:t>
      </w:r>
      <w:r>
        <w:rPr>
          <w:sz w:val="28"/>
          <w:szCs w:val="28"/>
        </w:rPr>
        <w:t xml:space="preserve">разместить на официальном сайте органов местного самоуправления </w:t>
      </w:r>
      <w:r>
        <w:rPr>
          <w:sz w:val="28"/>
          <w:szCs w:val="28"/>
        </w:rPr>
        <w:t xml:space="preserve">Борисовского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«Интернет».</w:t>
      </w:r>
      <w:r>
        <w:rPr>
          <w:sz w:val="28"/>
          <w:szCs w:val="28"/>
        </w:rPr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5. Контроль за исполнением данного решения возложить на заместителя главы Борисовс</w:t>
      </w:r>
      <w:r>
        <w:rPr>
          <w:szCs w:val="28"/>
        </w:rPr>
        <w:t xml:space="preserve">кого муниципального округа по строительству, транспорту, ЖКХ и градостроительной деятельности Усенко А.Н. и на постоянную комиссию по вопросам законности и развития местного самоуправления Совета депутатов Борисовского муниципального округа (Дудкина О.С.).</w:t>
      </w:r>
      <w:r/>
    </w:p>
    <w:p>
      <w:pPr>
        <w:pStyle w:val="622"/>
        <w:jc w:val="both"/>
        <w:rPr>
          <w:szCs w:val="28"/>
        </w:rPr>
      </w:pPr>
      <w:r>
        <w:rPr>
          <w:szCs w:val="28"/>
        </w:rPr>
      </w:r>
      <w:r/>
    </w:p>
    <w:p>
      <w:pPr>
        <w:pStyle w:val="622"/>
        <w:jc w:val="both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14"/>
        <w:gridCol w:w="2725"/>
        <w:gridCol w:w="243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widowControl w:val="off"/>
              <w:rPr>
                <w:rFonts w:ascii="PT Astra Serif" w:hAnsi="PT Astra Serif" w:eastAsia="Calibri" w:cs="Tahoma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 w:cs="Tahoma"/>
                <w:b/>
                <w:sz w:val="28"/>
                <w:szCs w:val="28"/>
              </w:rPr>
              <w:t xml:space="preserve">Председатель Совета депутатов</w:t>
            </w:r>
            <w:r>
              <w:rPr>
                <w:rFonts w:ascii="PT Astra Serif" w:hAnsi="PT Astra Serif" w:eastAsia="Calibri" w:cs="Tahoma"/>
                <w:b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jc w:val="both"/>
              <w:widowControl w:val="off"/>
            </w:pPr>
            <w:r>
              <w:rPr>
                <w:rFonts w:ascii="PT Astra Serif" w:hAnsi="PT Astra Serif" w:eastAsia="Calibri" w:cs="Tahoma"/>
                <w:b/>
                <w:sz w:val="28"/>
                <w:szCs w:val="28"/>
              </w:rPr>
              <w:t xml:space="preserve">Борисовского муниципального округа Белгородской области                            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01"/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01"/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Гордиенко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01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Борисовского муниципального округа Белгородской области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10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61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/>
          </w:p>
          <w:p>
            <w:pPr>
              <w:pStyle w:val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В.И. Переверзев </w:t>
            </w:r>
            <w:r/>
          </w:p>
        </w:tc>
      </w:tr>
    </w:tbl>
    <w:p>
      <w:pPr>
        <w:pStyle w:val="610"/>
        <w:jc w:val="both"/>
      </w:pPr>
      <w:r/>
      <w:r/>
    </w:p>
    <w:p>
      <w:pPr>
        <w:pStyle w:val="60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0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0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1"/>
        <w:tabs>
          <w:tab w:val="left" w:pos="70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решению С</w:t>
      </w:r>
      <w:r>
        <w:rPr>
          <w:b/>
          <w:sz w:val="28"/>
          <w:szCs w:val="28"/>
        </w:rPr>
        <w:t xml:space="preserve">овета</w:t>
      </w:r>
      <w:r>
        <w:rPr>
          <w:b/>
          <w:sz w:val="28"/>
          <w:szCs w:val="28"/>
        </w:rPr>
        <w:t xml:space="preserve"> депутатов</w:t>
      </w:r>
      <w:r>
        <w:rPr>
          <w:b/>
          <w:sz w:val="28"/>
          <w:szCs w:val="28"/>
        </w:rPr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Борисовского муниципального округа</w:t>
      </w:r>
      <w:r>
        <w:rPr>
          <w:b/>
          <w:sz w:val="28"/>
          <w:szCs w:val="28"/>
        </w:rPr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«22» мая 2026 г № 152</w:t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ind w:left="425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</w:t>
      </w:r>
      <w:r>
        <w:rPr>
          <w:b/>
          <w:sz w:val="28"/>
          <w:szCs w:val="28"/>
        </w:rPr>
        <w:t xml:space="preserve">ожение о муниципальном жилищном</w:t>
      </w:r>
      <w:r>
        <w:rPr>
          <w:b/>
          <w:sz w:val="28"/>
          <w:szCs w:val="28"/>
        </w:rPr>
        <w:t xml:space="preserve"> контроле </w:t>
      </w:r>
      <w:r/>
    </w:p>
    <w:p>
      <w:pPr>
        <w:pStyle w:val="62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Борисовского муниципального округа</w:t>
      </w:r>
      <w:r>
        <w:rPr>
          <w:b/>
          <w:sz w:val="28"/>
          <w:szCs w:val="28"/>
        </w:rPr>
      </w:r>
      <w:r/>
    </w:p>
    <w:p>
      <w:pPr>
        <w:pStyle w:val="62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center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Общие  положения </w:t>
      </w:r>
      <w:r/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   </w:t>
      </w:r>
      <w:r>
        <w:rPr>
          <w:sz w:val="28"/>
          <w:szCs w:val="28"/>
        </w:rPr>
        <w:tab/>
        <w:t xml:space="preserve">1.1. Положение о муниципально</w:t>
      </w:r>
      <w:r>
        <w:rPr>
          <w:sz w:val="28"/>
          <w:szCs w:val="28"/>
        </w:rPr>
        <w:t xml:space="preserve">м жилищном контроле на территории Борисовского муниципального округа  (далее - Положение) устанавливает порядок организации и осуществления муниципального жилищного контроля на территории Борисовского муниципального округа (далее - муниципальный контроль).</w:t>
      </w:r>
      <w:r/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1.2. Предметом муниципального жилищного  контроля является соблюдение юридическими лицами, индивидуальными предпринимателями и  гражданами обязательных требований, </w:t>
      </w:r>
      <w:r>
        <w:rPr>
          <w:sz w:val="28"/>
          <w:szCs w:val="28"/>
        </w:rPr>
        <w:t xml:space="preserve">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  <w:r>
        <w:rPr>
          <w:sz w:val="28"/>
          <w:szCs w:val="28"/>
        </w:rPr>
      </w:r>
      <w:r/>
    </w:p>
    <w:p>
      <w:pPr>
        <w:pStyle w:val="622"/>
        <w:jc w:val="both"/>
      </w:pPr>
      <w:r>
        <w:tab/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</w:t>
      </w:r>
      <w:r>
        <w:t xml:space="preserve">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r/>
    </w:p>
    <w:p>
      <w:pPr>
        <w:pStyle w:val="622"/>
        <w:jc w:val="both"/>
      </w:pPr>
      <w:r>
        <w:tab/>
        <w:t xml:space="preserve">2) требований к формированию фондов капитального ремонта;</w:t>
      </w:r>
      <w:r/>
    </w:p>
    <w:p>
      <w:pPr>
        <w:pStyle w:val="622"/>
        <w:jc w:val="both"/>
      </w:pPr>
      <w:r>
        <w:tab/>
        <w:t xml:space="preserve">3) требований к созданию и деятельности юридических лиц, индивидуальных предпринимателей, осуществляющих управление многокварт</w:t>
      </w:r>
      <w:r>
        <w:t xml:space="preserve">ирными домами (кроме юридических лиц, индивидуальных предпринимателей, осуществляющих управление многоквартирными домами на основании лицензии), оказывающих услуги и (или) выполняющих работы по содержанию и ремонту общего имущества в многоквартирных домах;</w:t>
      </w:r>
      <w:r/>
    </w:p>
    <w:p>
      <w:pPr>
        <w:pStyle w:val="622"/>
        <w:jc w:val="both"/>
      </w:pPr>
      <w:r>
        <w:tab/>
        <w:t xml:space="preserve">4) требований к предоставлению коммунальных услуг собственникам и пользователям помещений в многоквартирных домах и жилых домов;</w:t>
      </w:r>
      <w:r/>
    </w:p>
    <w:p>
      <w:pPr>
        <w:pStyle w:val="622"/>
        <w:jc w:val="both"/>
      </w:pPr>
      <w:r>
        <w:tab/>
        <w:t xml:space="preserve">5) правил изменени</w:t>
      </w:r>
      <w:r>
        <w:t xml:space="preserve">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  <w:r/>
    </w:p>
    <w:p>
      <w:pPr>
        <w:pStyle w:val="622"/>
        <w:jc w:val="both"/>
      </w:pPr>
      <w:r>
        <w:tab/>
        <w:t xml:space="preserve">6) правил содержания общего имущества в многоквартирном доме и правил изменения размера платы за содержание жилого помещения;</w:t>
      </w:r>
      <w:r/>
    </w:p>
    <w:p>
      <w:pPr>
        <w:pStyle w:val="622"/>
        <w:jc w:val="both"/>
      </w:pPr>
      <w:r>
        <w:tab/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домах;</w:t>
      </w:r>
      <w:r/>
    </w:p>
    <w:p>
      <w:pPr>
        <w:pStyle w:val="622"/>
        <w:jc w:val="both"/>
      </w:pPr>
      <w:r>
        <w:tab/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/>
    </w:p>
    <w:p>
      <w:pPr>
        <w:pStyle w:val="622"/>
        <w:jc w:val="both"/>
      </w:pPr>
      <w:r>
        <w:tab/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  <w:r/>
    </w:p>
    <w:p>
      <w:pPr>
        <w:pStyle w:val="622"/>
        <w:jc w:val="both"/>
      </w:pPr>
      <w:r>
        <w:tab/>
        <w:t xml:space="preserve">10) требований к обеспечению доступности для инвалидов помещений в многоквартирных домах;</w:t>
      </w:r>
      <w:r/>
    </w:p>
    <w:p>
      <w:pPr>
        <w:pStyle w:val="622"/>
        <w:jc w:val="both"/>
      </w:pPr>
      <w:r>
        <w:tab/>
        <w:t xml:space="preserve">11) требований к предоставлению жилых помещений в наемных домах социального использования;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</w:t>
      </w:r>
      <w:r/>
    </w:p>
    <w:p>
      <w:pPr>
        <w:pStyle w:val="623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 Объектами муниципального жилищного  контроля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деятельность, действия (бе</w:t>
      </w:r>
      <w:r>
        <w:rPr>
          <w:rFonts w:ascii="Times New Roman" w:hAnsi="Times New Roman" w:cs="Times New Roman"/>
          <w:sz w:val="28"/>
          <w:szCs w:val="28"/>
        </w:rPr>
        <w:t xml:space="preserve">здействия) контролируемых лиц, в рамках которых должны соблюдаться обязательные требования, в том числе предъявляемые  к контролируемым лицам, осуществляющим деятельность, действия (бездействия), указанные в подпунктах 1-12 пункта 1.2 настоящего Положения;</w:t>
      </w:r>
      <w:r/>
    </w:p>
    <w:p>
      <w:pPr>
        <w:pStyle w:val="622"/>
        <w:ind w:firstLine="540"/>
        <w:jc w:val="both"/>
      </w:pPr>
      <w:r>
        <w:t xml:space="preserve">2) результаты деятельности контролируемых лиц, в том числе, работы и услуги, к которым предъявляются обязательные требования, указанные в подпунктах 1-12 пункта 1.2 настоящего Положения;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жилые</w:t>
      </w:r>
      <w:r>
        <w:rPr>
          <w:rFonts w:ascii="Times New Roman" w:hAnsi="Times New Roman" w:cs="Times New Roman"/>
          <w:sz w:val="28"/>
          <w:szCs w:val="28"/>
        </w:rPr>
        <w:t xml:space="preserve"> помещения муниципального жилищного фонда, общее имущество в многоквартирных домах, в которых есть жилые помещения муниципального жилищного фонда, к которым предъявляются обязательные требования, указанные в подпунктах 1-12 пункта 1.2 настоящего Положения.</w:t>
      </w:r>
      <w:r/>
    </w:p>
    <w:p>
      <w:pPr>
        <w:pStyle w:val="622"/>
        <w:jc w:val="both"/>
        <w:rPr>
          <w:color w:val="000000"/>
        </w:rPr>
      </w:pPr>
      <w:r>
        <w:tab/>
        <w:t xml:space="preserve">1.4. Муниципальный жилищный</w:t>
      </w:r>
      <w:r>
        <w:t xml:space="preserve"> контроль </w:t>
      </w:r>
      <w:r>
        <w:t xml:space="preserve">на территории Борисовского муниципального округа </w:t>
      </w:r>
      <w:r>
        <w:t xml:space="preserve"> осуществляется </w:t>
      </w:r>
      <w:r>
        <w:t xml:space="preserve"> администрацией Борисовского муниципального округа </w:t>
      </w:r>
      <w:r>
        <w:t xml:space="preserve"> в лице отдела по реформированию и развитию ЖКХ администрации округа</w:t>
      </w:r>
      <w:r>
        <w:t xml:space="preserve"> (далее - Контрольный</w:t>
      </w:r>
      <w:r>
        <w:t xml:space="preserve"> орган) с учетом особенностей, предусмотренных </w:t>
      </w:r>
      <w:r>
        <w:fldChar w:fldCharType="begin"/>
      </w:r>
      <w:r>
        <w:instrText xml:space="preserve"> HYPERLINK "https://docs.cntd.ru/document/565415215" \l "8OS0LR" </w:instrText>
      </w:r>
      <w:r>
        <w:fldChar w:fldCharType="separate"/>
      </w:r>
      <w:r>
        <w:rPr>
          <w:rStyle w:val="624"/>
          <w:color w:val="000000"/>
          <w:szCs w:val="28"/>
          <w:u w:val="none"/>
        </w:rPr>
        <w:t xml:space="preserve">частью 3 статьи 5 Федерального закона от 31 июля 2020 года № 248-ФЗ «О государственном контроле (надзоре) и муниципальном контроле в Российской Федерации</w:t>
      </w:r>
      <w:r>
        <w:rPr>
          <w:rStyle w:val="624"/>
          <w:color w:val="000000"/>
          <w:szCs w:val="28"/>
          <w:u w:val="none"/>
        </w:rPr>
        <w:fldChar w:fldCharType="end"/>
      </w:r>
      <w:r>
        <w:rPr>
          <w:color w:val="000000"/>
        </w:rPr>
        <w:t xml:space="preserve">» </w:t>
      </w:r>
      <w:r>
        <w:rPr>
          <w:color w:val="000000"/>
        </w:rPr>
        <w:t xml:space="preserve">(далее -Федеральный закон № 248-ФЗ).</w:t>
      </w:r>
      <w:r/>
    </w:p>
    <w:p>
      <w:pPr>
        <w:pStyle w:val="622"/>
        <w:jc w:val="both"/>
      </w:pPr>
      <w:r>
        <w:tab/>
        <w:t xml:space="preserve">1.4.1. </w:t>
      </w:r>
      <w:r>
        <w:t xml:space="preserve">Должностным лицом, уполномоченным на принятие решений о проведении контрольных мероприятий является глава Борисовского муниципального округа.</w:t>
      </w:r>
      <w:r/>
    </w:p>
    <w:p>
      <w:pPr>
        <w:pStyle w:val="622"/>
        <w:ind w:firstLine="708"/>
        <w:jc w:val="both"/>
      </w:pPr>
      <w:r>
        <w:t xml:space="preserve">1.4.2. </w:t>
      </w:r>
      <w:r>
        <w:t xml:space="preserve">От имени Контрольного органа муниципальный контроль вправе осуществлять следующие должностные лица:</w:t>
      </w:r>
      <w:r/>
    </w:p>
    <w:p>
      <w:pPr>
        <w:pStyle w:val="622"/>
        <w:ind w:firstLine="708"/>
        <w:jc w:val="both"/>
      </w:pPr>
      <w:r>
        <w:t xml:space="preserve">- заместитель главы Борисовского муниципального округа по строительству, транспорту, ЖКХ и градостроительной деятельности;</w:t>
      </w:r>
      <w:r/>
    </w:p>
    <w:p>
      <w:pPr>
        <w:pStyle w:val="622"/>
        <w:ind w:firstLine="708"/>
        <w:jc w:val="both"/>
      </w:pPr>
      <w:r>
        <w:t xml:space="preserve">- начальник отдела по реформированию и развитию ЖКХ администрации Борисовского муниципального округа</w:t>
      </w:r>
      <w:r>
        <w:t xml:space="preserve">;</w:t>
      </w:r>
      <w:r/>
    </w:p>
    <w:p>
      <w:pPr>
        <w:pStyle w:val="622"/>
        <w:ind w:firstLine="708"/>
        <w:jc w:val="both"/>
      </w:pPr>
      <w:r>
        <w:t xml:space="preserve">- заместитель начальника отдела по реформированию и развитию ЖКХ администрации Борисовского муниципального окру</w:t>
      </w:r>
      <w:r>
        <w:t xml:space="preserve">га.</w:t>
      </w:r>
      <w:r/>
    </w:p>
    <w:p>
      <w:pPr>
        <w:pStyle w:val="622"/>
        <w:ind w:firstLine="708"/>
        <w:jc w:val="both"/>
      </w:pPr>
      <w:r>
        <w:t xml:space="preserve">1.5. Должностные лица, уполномоченные на осуществление муниципального контроля на территории Борисовского муниципального округа, имеют права, обязанности и несут ответственность в соответствии с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№ 248-ФЗ</w:t>
      </w:r>
      <w:r>
        <w:t xml:space="preserve"> и иными федеральными законами.</w:t>
      </w:r>
      <w:r/>
    </w:p>
    <w:p>
      <w:pPr>
        <w:pStyle w:val="622"/>
        <w:ind w:firstLine="708"/>
        <w:jc w:val="both"/>
      </w:pPr>
      <w:r>
        <w:t xml:space="preserve">1.6. Муниципальный контроль осуществляется посредством профилактики нар</w:t>
      </w:r>
      <w:r>
        <w:t xml:space="preserve">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r/>
    </w:p>
    <w:p>
      <w:pPr>
        <w:pStyle w:val="622"/>
        <w:ind w:firstLine="708"/>
        <w:jc w:val="both"/>
      </w:pPr>
      <w:r>
        <w:t xml:space="preserve">1.7. Контрольным органом обеспечивается учет объектов контроля в соответствии с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t xml:space="preserve">законом</w:t>
      </w:r>
      <w:r>
        <w:fldChar w:fldCharType="end"/>
      </w:r>
      <w:r>
        <w:t xml:space="preserve"> № 248-ФЗ и настоящим Положением.</w:t>
      </w:r>
      <w:r/>
    </w:p>
    <w:p>
      <w:pPr>
        <w:pStyle w:val="622"/>
        <w:jc w:val="both"/>
      </w:pPr>
      <w:r/>
      <w:r/>
    </w:p>
    <w:p>
      <w:pPr>
        <w:pStyle w:val="622"/>
        <w:jc w:val="center"/>
        <w:rPr>
          <w:b/>
        </w:rPr>
      </w:pPr>
      <w:r>
        <w:rPr>
          <w:b/>
        </w:rPr>
        <w:t xml:space="preserve">2. Управление рисками причинения вреда (ущерба) охраняемым</w:t>
      </w:r>
      <w:r>
        <w:rPr>
          <w:b/>
        </w:rPr>
        <w:t xml:space="preserve"> </w:t>
      </w:r>
      <w:r>
        <w:rPr>
          <w:b/>
        </w:rPr>
        <w:t xml:space="preserve">законом ценностям при осуществлении муниципального контроля</w:t>
      </w:r>
      <w:r/>
    </w:p>
    <w:p>
      <w:pPr>
        <w:pStyle w:val="622"/>
        <w:ind w:firstLine="708"/>
        <w:jc w:val="both"/>
      </w:pPr>
      <w:r>
        <w:t xml:space="preserve">2</w:t>
      </w:r>
      <w:r>
        <w:t xml:space="preserve">.1. Муниципальны</w:t>
      </w:r>
      <w:r>
        <w:t xml:space="preserve">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/>
    </w:p>
    <w:p>
      <w:pPr>
        <w:pStyle w:val="622"/>
        <w:ind w:firstLine="708"/>
        <w:jc w:val="both"/>
      </w:pPr>
      <w:r>
        <w:t xml:space="preserve">2</w:t>
      </w:r>
      <w:r>
        <w:t xml:space="preserve">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  <w:r/>
    </w:p>
    <w:p>
      <w:pPr>
        <w:pStyle w:val="622"/>
        <w:ind w:firstLine="708"/>
        <w:jc w:val="both"/>
      </w:pPr>
      <w:r>
        <w:t xml:space="preserve"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средний риск;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умеренный риск;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низкий риск.</w:t>
      </w:r>
      <w:r/>
    </w:p>
    <w:p>
      <w:pPr>
        <w:pStyle w:val="622"/>
        <w:ind w:firstLine="708"/>
        <w:jc w:val="both"/>
      </w:pPr>
      <w:r>
        <w:t xml:space="preserve">2</w:t>
      </w:r>
      <w:r>
        <w:t xml:space="preserve">.3.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решением руководителя (заместителя руководителя) Контрольного органа: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для среднего риска - установление в течение 2 лет, предшествующих моменту отнесения Контрольным органом объекта контроля к одной из категори</w:t>
      </w:r>
      <w:r>
        <w:t xml:space="preserve">й риска, факта наличия предписания, не исполненного в срок, установленный предписанием, выданным по факту несоблюдения обязательных требований и при наличии вступившего в законную силу в течение последних 2 лет на дату принятия решения об отнесении объекта</w:t>
      </w:r>
      <w:r>
        <w:t xml:space="preserve"> контроля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требований;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для умеренного риска - совершение в течение года, предшествующего моменту отнесения Контрольным органом объекта контроля к одной из категорий р</w:t>
      </w:r>
      <w:r>
        <w:t xml:space="preserve">иска, факта наличия предписания, исполненного в срок, установленный предписанием, выданным по факту несоблюдения обязательных требований и (или) при наличии вступившего в законную силу в течение последнего года на дату принятия решения об отнесении объекта</w:t>
      </w:r>
      <w:r>
        <w:t xml:space="preserve"> контроля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требований;</w:t>
      </w:r>
      <w:r/>
    </w:p>
    <w:p>
      <w:pPr>
        <w:pStyle w:val="622"/>
        <w:ind w:firstLine="708"/>
        <w:jc w:val="both"/>
      </w:pPr>
      <w:r>
        <w:t xml:space="preserve">- </w:t>
      </w:r>
      <w:r>
        <w:t xml:space="preserve">для низкого риска - отсутствие обстоятельств, предусмотренных для среднего и умеренного риска.</w:t>
      </w:r>
      <w:r/>
    </w:p>
    <w:p>
      <w:pPr>
        <w:pStyle w:val="622"/>
        <w:ind w:firstLine="708"/>
        <w:jc w:val="both"/>
      </w:pPr>
      <w: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муниципального жилищного контроля </w:t>
      </w:r>
      <w:r>
        <w:rPr>
          <w:sz w:val="28"/>
          <w:szCs w:val="28"/>
        </w:rPr>
        <w:t xml:space="preserve">применяются следующие индикаторы</w:t>
      </w:r>
      <w:r>
        <w:rPr>
          <w:sz w:val="28"/>
          <w:szCs w:val="28"/>
        </w:rPr>
        <w:t xml:space="preserve"> риска на</w:t>
      </w:r>
      <w:r>
        <w:rPr>
          <w:sz w:val="28"/>
          <w:szCs w:val="28"/>
        </w:rPr>
        <w:t xml:space="preserve">рушения обязательных требований</w:t>
      </w:r>
      <w:r>
        <w:rPr>
          <w:sz w:val="28"/>
          <w:szCs w:val="28"/>
        </w:rPr>
        <w:t xml:space="preserve">: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</w:t>
      </w:r>
      <w:r>
        <w:rPr>
          <w:sz w:val="28"/>
          <w:szCs w:val="28"/>
        </w:rPr>
        <w:t xml:space="preserve">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</w:t>
      </w:r>
      <w:r>
        <w:rPr>
          <w:sz w:val="28"/>
          <w:szCs w:val="28"/>
        </w:rPr>
        <w:t xml:space="preserve">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</w:t>
      </w:r>
      <w:r>
        <w:rPr>
          <w:sz w:val="28"/>
          <w:szCs w:val="28"/>
        </w:rPr>
        <w:t xml:space="preserve">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органа, осуществляющего му</w:t>
      </w:r>
      <w:r>
        <w:rPr>
          <w:sz w:val="28"/>
          <w:szCs w:val="28"/>
        </w:rPr>
        <w:t xml:space="preserve">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Контрольный орган при сборе, обработке</w:t>
      </w:r>
      <w:r>
        <w:rPr>
          <w:sz w:val="28"/>
          <w:szCs w:val="28"/>
        </w:rPr>
        <w:t xml:space="preserve">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</w:t>
      </w:r>
      <w:r>
        <w:rPr>
          <w:sz w:val="28"/>
          <w:szCs w:val="28"/>
        </w:rPr>
        <w:t xml:space="preserve">. Контрольный орган осуществляет категорирование объектов контроля в порядке, определенном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"https://login.consultant.ru/link/?req=doc&amp;base=LAW&amp;n=508984&amp;dst=100274"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248-ФЗ.</w:t>
      </w:r>
      <w:r/>
    </w:p>
    <w:p>
      <w:pPr>
        <w:pStyle w:val="6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 отнесении объектов контроля к категориям риска принимаются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порядке, установленном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"https://login.consultant.ru/link/?req=doc&amp;base=LAW&amp;n=521885&amp;dst=406"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Правилами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 xml:space="preserve">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утвержденными Постановлением Правительства Российской Федерации от 24 октября 2011 года № 861.</w:t>
      </w:r>
      <w:r/>
    </w:p>
    <w:p>
      <w:pPr>
        <w:pStyle w:val="622"/>
        <w:jc w:val="both"/>
      </w:pPr>
      <w:r/>
      <w:r/>
    </w:p>
    <w:p>
      <w:pPr>
        <w:pStyle w:val="622"/>
        <w:jc w:val="center"/>
        <w:rPr>
          <w:b/>
        </w:rPr>
      </w:pPr>
      <w:r>
        <w:rPr>
          <w:b/>
        </w:rPr>
        <w:t xml:space="preserve">3. Профилактика рисков причинения вреда (ущерба) охраняемым</w:t>
      </w:r>
      <w:r>
        <w:rPr>
          <w:b/>
        </w:rPr>
        <w:t xml:space="preserve"> </w:t>
      </w:r>
      <w:r>
        <w:rPr>
          <w:b/>
        </w:rPr>
        <w:t xml:space="preserve">законом ценностям при осуществлении муниципального контроля</w:t>
      </w:r>
      <w:r/>
    </w:p>
    <w:p>
      <w:pPr>
        <w:pStyle w:val="622"/>
        <w:ind w:firstLine="708"/>
        <w:jc w:val="both"/>
      </w:pPr>
      <w:r>
        <w:t xml:space="preserve">3.1.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</w:t>
      </w:r>
      <w:r>
        <w:t xml:space="preserve">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  <w:r/>
    </w:p>
    <w:p>
      <w:pPr>
        <w:pStyle w:val="622"/>
        <w:ind w:firstLine="708"/>
        <w:jc w:val="both"/>
      </w:pPr>
      <w:r>
        <w:t xml:space="preserve">3.2. Профилактика рисков причинения вреда (ущерба) охраняемым законом ценностям осуществляется в соо</w:t>
      </w:r>
      <w:r>
        <w:t xml:space="preserve">тветствии с программой профилактики рисков причинения вреда (ущерба) охраняемым законом ценностям (далее - программа профилактики рисков причинения вреда), разрабатываемой и утверждаемой ежегодно в порядке, утвержденном Правительством Российской Федерации.</w:t>
      </w:r>
      <w:r/>
    </w:p>
    <w:p>
      <w:pPr>
        <w:pStyle w:val="622"/>
        <w:ind w:firstLine="708"/>
        <w:jc w:val="both"/>
      </w:pPr>
      <w:r>
        <w:t xml:space="preserve"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  <w:r/>
    </w:p>
    <w:p>
      <w:pPr>
        <w:pStyle w:val="622"/>
        <w:ind w:firstLine="708"/>
        <w:jc w:val="both"/>
      </w:pPr>
      <w:r>
        <w:t xml:space="preserve">Контрольный орган может проводить профилактические мероприятия, не предусмотренные программой профилактики рисков причинения вреда.</w:t>
      </w:r>
      <w:r/>
    </w:p>
    <w:p>
      <w:pPr>
        <w:pStyle w:val="622"/>
        <w:ind w:firstLine="708"/>
        <w:jc w:val="both"/>
      </w:pPr>
      <w:r>
        <w:t xml:space="preserve">При осуществлении муниципального контроля Контрольным органом могут проводиться следующие виды профилактических мероприятий:</w:t>
      </w:r>
      <w:r/>
    </w:p>
    <w:p>
      <w:pPr>
        <w:pStyle w:val="622"/>
        <w:ind w:firstLine="708"/>
        <w:jc w:val="both"/>
      </w:pPr>
      <w:r>
        <w:t xml:space="preserve">- информирование;</w:t>
      </w:r>
      <w:r/>
    </w:p>
    <w:p>
      <w:pPr>
        <w:pStyle w:val="622"/>
        <w:ind w:firstLine="708"/>
        <w:jc w:val="both"/>
      </w:pPr>
      <w:r>
        <w:t xml:space="preserve">- объявление предостережения;</w:t>
      </w:r>
      <w:r/>
    </w:p>
    <w:p>
      <w:pPr>
        <w:pStyle w:val="622"/>
        <w:ind w:firstLine="708"/>
        <w:jc w:val="both"/>
      </w:pPr>
      <w:r>
        <w:t xml:space="preserve">- консультирование;</w:t>
      </w:r>
      <w:r/>
    </w:p>
    <w:p>
      <w:pPr>
        <w:pStyle w:val="622"/>
        <w:ind w:firstLine="708"/>
        <w:jc w:val="both"/>
      </w:pPr>
      <w:r>
        <w:t xml:space="preserve">- профилактический визит.</w:t>
      </w:r>
      <w:r/>
    </w:p>
    <w:p>
      <w:pPr>
        <w:pStyle w:val="622"/>
        <w:ind w:firstLine="708"/>
        <w:jc w:val="both"/>
      </w:pPr>
      <w:r>
        <w:t xml:space="preserve">3.3.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сведений, </w:t>
      </w:r>
      <w:r>
        <w:rPr>
          <w:color w:val="000000"/>
        </w:rPr>
        <w:t xml:space="preserve">предусмотренных </w:t>
      </w:r>
      <w:r>
        <w:fldChar w:fldCharType="begin"/>
      </w:r>
      <w:r>
        <w:instrText xml:space="preserve"> HYPERLINK "https://login.consultant.ru/link/?req=doc&amp;base=LAW&amp;n=508984&amp;dst=100512" \h </w:instrText>
      </w:r>
      <w:r>
        <w:fldChar w:fldCharType="separate"/>
      </w:r>
      <w:r>
        <w:rPr>
          <w:color w:val="000000"/>
        </w:rPr>
        <w:t xml:space="preserve">частью 3 статьи 46</w:t>
      </w:r>
      <w:r>
        <w:rPr>
          <w:color w:val="000000"/>
        </w:rPr>
        <w:fldChar w:fldCharType="end"/>
      </w:r>
      <w:r>
        <w:t xml:space="preserve"> Федерального закона № 248-ФЗ на официальном сайте органо</w:t>
      </w:r>
      <w:r>
        <w:t xml:space="preserve">в местного самоуправления Борисовского муниципального округа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/>
    </w:p>
    <w:p>
      <w:pPr>
        <w:pStyle w:val="622"/>
        <w:ind w:firstLine="708"/>
        <w:jc w:val="both"/>
      </w:pPr>
      <w:r>
        <w:t xml:space="preserve">3.4. Предостережение о недопустимости нарушения обязательн</w:t>
      </w:r>
      <w:r>
        <w:t xml:space="preserve">ых требований (далее - предостережение) объявляется контролируемому лицу 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>
        <w:t xml:space="preserve"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r/>
    </w:p>
    <w:p>
      <w:pPr>
        <w:pStyle w:val="622"/>
        <w:ind w:firstLine="708"/>
        <w:jc w:val="both"/>
      </w:pPr>
      <w:r>
        <w:t xml:space="preserve">3.4.1. </w:t>
      </w:r>
      <w:r>
        <w:fldChar w:fldCharType="begin"/>
      </w:r>
      <w:r>
        <w:instrText xml:space="preserve"> HYPERLINK "https://login.consultant.ru/link/?req=doc&amp;base=LAW&amp;n=507514&amp;dst=100762" \h </w:instrText>
      </w:r>
      <w:r>
        <w:fldChar w:fldCharType="separate"/>
      </w:r>
      <w:r>
        <w:rPr>
          <w:color w:val="000000"/>
        </w:rPr>
        <w:t xml:space="preserve">Предостережение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составляется по форме, утвержденной Приказом Минэкономразвития России от 31 марта 2021 года № 151 «О типовых формах документов, используемых контрольным (надзорным) органом».</w:t>
      </w:r>
      <w:r/>
    </w:p>
    <w:p>
      <w:pPr>
        <w:pStyle w:val="622"/>
        <w:ind w:firstLine="708"/>
        <w:jc w:val="both"/>
      </w:pPr>
      <w:r>
        <w:t xml:space="preserve">3.4.2. Контролируемое лицо в течение 10 рабочих дней со дня получения предостережения вправе подать в Контрольный орган возражение в отношении предостережения.</w:t>
      </w:r>
      <w:r/>
    </w:p>
    <w:p>
      <w:pPr>
        <w:pStyle w:val="622"/>
        <w:ind w:firstLine="708"/>
        <w:jc w:val="both"/>
      </w:pPr>
      <w:r>
        <w:t xml:space="preserve">Возражение представляется контролируемым лицом лично или его представителем в адрес Контрольного органа в бумажном виде, либо направляется почтовым отправлением, либо в виде электронного документа, подписанного в порядке, предусмотренном</w:t>
      </w:r>
      <w:r>
        <w:rPr>
          <w:color w:val="000000"/>
        </w:rPr>
        <w:t xml:space="preserve"> </w:t>
      </w:r>
      <w:r>
        <w:fldChar w:fldCharType="begin"/>
      </w:r>
      <w:r>
        <w:instrText xml:space="preserve"> HYPERLINK "https://login.consultant.ru/link/?req=doc&amp;base=LAW&amp;n=508984&amp;dst=100225" \h </w:instrText>
      </w:r>
      <w:r>
        <w:fldChar w:fldCharType="separate"/>
      </w:r>
      <w:r>
        <w:rPr>
          <w:color w:val="000000"/>
        </w:rPr>
        <w:t xml:space="preserve">статьей 21</w:t>
      </w:r>
      <w:r>
        <w:rPr>
          <w:color w:val="000000"/>
        </w:rPr>
        <w:fldChar w:fldCharType="end"/>
      </w:r>
      <w:r>
        <w:t xml:space="preserve"> Федерального закона № 248-ФЗ, на адрес электронной почты Контрольного органа либо посредством единого портала государственных и муниципальных услуг или регионального портала государственных и муниципальных услуг.</w:t>
      </w:r>
      <w:r/>
    </w:p>
    <w:p>
      <w:pPr>
        <w:pStyle w:val="622"/>
        <w:ind w:firstLine="708"/>
        <w:jc w:val="both"/>
      </w:pPr>
      <w:r>
        <w:t xml:space="preserve">3.4.3. Возражение должно содержать:</w:t>
      </w:r>
      <w:r/>
    </w:p>
    <w:p>
      <w:pPr>
        <w:pStyle w:val="622"/>
        <w:ind w:firstLine="708"/>
        <w:jc w:val="both"/>
      </w:pPr>
      <w:r>
        <w:t xml:space="preserve">- наименование Контрольного органа, в который направляется возражение;</w:t>
      </w:r>
      <w:r/>
    </w:p>
    <w:p>
      <w:pPr>
        <w:pStyle w:val="622"/>
        <w:ind w:firstLine="708"/>
        <w:jc w:val="both"/>
      </w:pPr>
      <w:r>
        <w:t xml:space="preserve">-наименование контролируемого лица (наименование юридическог</w:t>
      </w:r>
      <w:r>
        <w:t xml:space="preserve">о лица, фамилия, имя и отчество (последнее - при наличии) индивидуального предпринимателя или гражданина),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r/>
    </w:p>
    <w:p>
      <w:pPr>
        <w:pStyle w:val="622"/>
        <w:ind w:firstLine="708"/>
        <w:jc w:val="both"/>
      </w:pPr>
      <w:r>
        <w:t xml:space="preserve">- дату и номер предостережения;</w:t>
      </w:r>
      <w:r/>
    </w:p>
    <w:p>
      <w:pPr>
        <w:pStyle w:val="622"/>
        <w:ind w:firstLine="708"/>
        <w:jc w:val="both"/>
      </w:pPr>
      <w:r>
        <w:t xml:space="preserve">- доводы, на основании которых контролируемое лицо не согласно с объявленным предостережением;</w:t>
      </w:r>
      <w:r/>
    </w:p>
    <w:p>
      <w:pPr>
        <w:pStyle w:val="622"/>
        <w:ind w:firstLine="708"/>
        <w:jc w:val="both"/>
      </w:pPr>
      <w:r>
        <w:t xml:space="preserve">- дату получения предостережения контролируемым лицом;</w:t>
      </w:r>
      <w:r/>
    </w:p>
    <w:p>
      <w:pPr>
        <w:pStyle w:val="622"/>
        <w:ind w:firstLine="708"/>
        <w:jc w:val="both"/>
      </w:pPr>
      <w:r>
        <w:t xml:space="preserve">- личную подпись и дату.</w:t>
      </w:r>
      <w:r/>
    </w:p>
    <w:p>
      <w:pPr>
        <w:pStyle w:val="622"/>
        <w:ind w:firstLine="708"/>
        <w:jc w:val="both"/>
      </w:pPr>
      <w:r>
        <w:t xml:space="preserve">3.4.4.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  <w:r/>
    </w:p>
    <w:p>
      <w:pPr>
        <w:pStyle w:val="622"/>
        <w:ind w:firstLine="708"/>
        <w:jc w:val="both"/>
      </w:pPr>
      <w:r>
        <w:t xml:space="preserve">3.4.5. Контрольный орган рассматривает возражение в отношении предостережения в течение 15 рабочих дней со дня его получения.</w:t>
      </w:r>
      <w:r/>
    </w:p>
    <w:p>
      <w:pPr>
        <w:pStyle w:val="622"/>
        <w:ind w:firstLine="708"/>
        <w:jc w:val="both"/>
      </w:pPr>
      <w:r>
        <w:t xml:space="preserve">3.4.6. По результатам рассмотрения возражения Контрольный орган принимает одно из следующих решений:</w:t>
      </w:r>
      <w:r/>
    </w:p>
    <w:p>
      <w:pPr>
        <w:pStyle w:val="622"/>
        <w:ind w:firstLine="708"/>
        <w:jc w:val="both"/>
      </w:pPr>
      <w:r>
        <w:t xml:space="preserve">- удовлетворяет возражение в форме отмены предостережения;</w:t>
      </w:r>
      <w:r/>
    </w:p>
    <w:p>
      <w:pPr>
        <w:pStyle w:val="622"/>
        <w:ind w:firstLine="708"/>
        <w:jc w:val="both"/>
      </w:pPr>
      <w:r>
        <w:t xml:space="preserve">- отказывает в удовлетворении возражения с указанием причины отказа.</w:t>
      </w:r>
      <w:r/>
    </w:p>
    <w:p>
      <w:pPr>
        <w:pStyle w:val="622"/>
        <w:ind w:firstLine="708"/>
        <w:jc w:val="both"/>
      </w:pPr>
      <w:r>
        <w:t xml:space="preserve">3.4.7. Контрольный орган информирует контролируемое лицо о результатах рассмотрения возражения не позднее 5 рабочих дней со дня его рассмотрения.</w:t>
      </w:r>
      <w:r/>
    </w:p>
    <w:p>
      <w:pPr>
        <w:pStyle w:val="622"/>
        <w:ind w:firstLine="708"/>
        <w:jc w:val="both"/>
      </w:pPr>
      <w:r>
        <w:t xml:space="preserve">3.4.8. Повторное возражение по тем же основаниям не рассматривается.</w:t>
      </w:r>
      <w:r/>
    </w:p>
    <w:p>
      <w:pPr>
        <w:pStyle w:val="622"/>
        <w:ind w:firstLine="708"/>
        <w:jc w:val="both"/>
      </w:pPr>
      <w:r>
        <w:t xml:space="preserve">3.4.9. Контрольный орган осуществляет учет объявленных им предостережений и использует соответствующие данные для проведения иных профилактических и контрольных мероприятий.</w:t>
      </w:r>
      <w:r/>
    </w:p>
    <w:p>
      <w:pPr>
        <w:pStyle w:val="622"/>
        <w:ind w:firstLine="708"/>
        <w:jc w:val="both"/>
      </w:pPr>
      <w:r>
        <w:t xml:space="preserve">3</w:t>
      </w:r>
      <w:r>
        <w:t xml:space="preserve">.5. Консультирование контролируемых лиц и их представителей осуществляется должностным лицом Контрольного органа по обращениям контролируемых лиц и их представителей,</w:t>
      </w:r>
      <w:r>
        <w:t xml:space="preserve">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по вопросам, связанным с организацией и осуществлением муниципального контроля, без взимания платы:</w:t>
      </w:r>
      <w:r/>
    </w:p>
    <w:p>
      <w:pPr>
        <w:pStyle w:val="622"/>
        <w:ind w:firstLine="708"/>
        <w:jc w:val="both"/>
      </w:pPr>
      <w:r>
        <w:t xml:space="preserve">- в виде устных разъяснений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мероприятия;</w:t>
      </w:r>
      <w:r/>
    </w:p>
    <w:p>
      <w:pPr>
        <w:pStyle w:val="622"/>
        <w:ind w:firstLine="708"/>
        <w:jc w:val="both"/>
      </w:pPr>
      <w:r>
        <w:t xml:space="preserve">- в виде письменных разъяснений;</w:t>
      </w:r>
      <w:r/>
    </w:p>
    <w:p>
      <w:pPr>
        <w:pStyle w:val="622"/>
        <w:ind w:firstLine="708"/>
        <w:jc w:val="both"/>
      </w:pPr>
      <w:r>
        <w:t xml:space="preserve">-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лицом.</w:t>
      </w:r>
      <w:r/>
    </w:p>
    <w:p>
      <w:pPr>
        <w:pStyle w:val="622"/>
        <w:ind w:firstLine="708"/>
        <w:jc w:val="both"/>
      </w:pPr>
      <w:r>
        <w:t xml:space="preserve">3.5.1. Устное консультирование осуществляется по вопросам:</w:t>
      </w:r>
      <w:r/>
    </w:p>
    <w:p>
      <w:pPr>
        <w:pStyle w:val="622"/>
        <w:ind w:firstLine="708"/>
        <w:jc w:val="both"/>
      </w:pPr>
      <w:r>
        <w:t xml:space="preserve">- порядка проведения контрольных мероприятий;</w:t>
      </w:r>
      <w:r/>
    </w:p>
    <w:p>
      <w:pPr>
        <w:pStyle w:val="622"/>
        <w:ind w:firstLine="708"/>
        <w:jc w:val="both"/>
      </w:pPr>
      <w:r>
        <w:t xml:space="preserve">- периодичности проведения контрольных мероприятий;</w:t>
      </w:r>
      <w:r/>
    </w:p>
    <w:p>
      <w:pPr>
        <w:pStyle w:val="622"/>
        <w:ind w:firstLine="708"/>
        <w:jc w:val="both"/>
      </w:pPr>
      <w:r>
        <w:t xml:space="preserve">- порядка принятия решений по итогам контрольных мероприятий;</w:t>
      </w:r>
      <w:r/>
    </w:p>
    <w:p>
      <w:pPr>
        <w:pStyle w:val="622"/>
        <w:ind w:firstLine="708"/>
        <w:jc w:val="both"/>
      </w:pPr>
      <w:r>
        <w:t xml:space="preserve">- порядка обжалования решений Контрольного органа.</w:t>
      </w:r>
      <w:r/>
    </w:p>
    <w:p>
      <w:pPr>
        <w:pStyle w:val="622"/>
        <w:ind w:firstLine="708"/>
        <w:jc w:val="both"/>
      </w:pPr>
      <w:r>
        <w:t xml:space="preserve">3.5.2. Письменное консультирование осуществляется на основании письменного запроса по вопросам:</w:t>
      </w:r>
      <w:r/>
    </w:p>
    <w:p>
      <w:pPr>
        <w:pStyle w:val="622"/>
        <w:ind w:firstLine="708"/>
        <w:jc w:val="both"/>
      </w:pPr>
      <w:r>
        <w:t xml:space="preserve">- проведения контрольных мероприятий в отношении контролируемого лица;</w:t>
      </w:r>
      <w:r/>
    </w:p>
    <w:p>
      <w:pPr>
        <w:pStyle w:val="622"/>
        <w:ind w:firstLine="708"/>
        <w:jc w:val="both"/>
      </w:pPr>
      <w:r>
        <w:t xml:space="preserve">- применения мер ответственности.</w:t>
      </w:r>
      <w:r/>
    </w:p>
    <w:p>
      <w:pPr>
        <w:pStyle w:val="622"/>
        <w:ind w:firstLine="708"/>
        <w:jc w:val="both"/>
      </w:pPr>
      <w:r>
        <w:t xml:space="preserve">3.5.3. Индивидуальное консультирование на личном приеме каждого заявителя не может превышать 10 минут.</w:t>
      </w:r>
      <w:r/>
    </w:p>
    <w:p>
      <w:pPr>
        <w:pStyle w:val="622"/>
        <w:ind w:firstLine="708"/>
        <w:jc w:val="both"/>
      </w:pPr>
      <w:r>
        <w:t xml:space="preserve">Время разговора по телефону не должно превышать 10 минут.</w:t>
      </w:r>
      <w:r/>
    </w:p>
    <w:p>
      <w:pPr>
        <w:pStyle w:val="622"/>
        <w:ind w:firstLine="708"/>
        <w:jc w:val="both"/>
      </w:pPr>
      <w:r>
        <w:t xml:space="preserve">3.5.4. Контролируемое лицо вправе направить запрос о предоставлении письменного ответа в сроки, установленные Федеральным </w:t>
      </w:r>
      <w:r>
        <w:fldChar w:fldCharType="begin"/>
      </w:r>
      <w:r>
        <w:instrText xml:space="preserve"> HYPERLINK "https://login.consultant.ru/link/?req=doc&amp;base=LAW&amp;n=494960"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t xml:space="preserve"> от 2 мая 2006 года № 59-ФЗ «О порядке рассмотрения обращений граждан Российской Федерации».</w:t>
      </w:r>
      <w:r/>
    </w:p>
    <w:p>
      <w:pPr>
        <w:pStyle w:val="622"/>
        <w:ind w:firstLine="708"/>
        <w:jc w:val="both"/>
      </w:pPr>
      <w:r>
        <w:t xml:space="preserve">3.5.5. Контрольный орган осуществляет учет проведенных консультирований.</w:t>
      </w:r>
      <w:r/>
    </w:p>
    <w:p>
      <w:pPr>
        <w:pStyle w:val="622"/>
        <w:ind w:firstLine="708"/>
        <w:jc w:val="both"/>
      </w:pPr>
      <w:r>
        <w:t xml:space="preserve">3.6. Профилактический визит проводится в форме профилактической беседы муниципальным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/>
    </w:p>
    <w:p>
      <w:pPr>
        <w:pStyle w:val="622"/>
        <w:ind w:firstLine="708"/>
        <w:jc w:val="both"/>
      </w:pPr>
      <w:r>
        <w:t xml:space="preserve">В ходе профилактического визита контролируемое лицо информируется об обязательных требованиях, предъявляемых к его деятельност</w:t>
      </w:r>
      <w:r>
        <w:t xml:space="preserve">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</w:t>
      </w:r>
      <w:r>
        <w:t xml:space="preserve">ующей категории риска, а муниципальный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/>
    </w:p>
    <w:p>
      <w:pPr>
        <w:pStyle w:val="622"/>
        <w:ind w:firstLine="708"/>
        <w:jc w:val="both"/>
      </w:pPr>
      <w: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  <w:r/>
    </w:p>
    <w:p>
      <w:pPr>
        <w:pStyle w:val="622"/>
        <w:ind w:firstLine="708"/>
        <w:jc w:val="both"/>
      </w:pPr>
      <w:r>
        <w:t xml:space="preserve">Для объектов контроля, отнесенных к категории среднего или умеренного риска, проводится обязательный профилактический визит в порядке, определенном </w:t>
      </w:r>
      <w:r>
        <w:fldChar w:fldCharType="begin"/>
      </w:r>
      <w:r>
        <w:instrText xml:space="preserve"> HYPERLINK "https://login.consultant.ru/link/?req=doc&amp;base=LAW&amp;n=508984&amp;dst=101366" \h </w:instrText>
      </w:r>
      <w:r>
        <w:fldChar w:fldCharType="separate"/>
      </w:r>
      <w:r>
        <w:rPr>
          <w:color w:val="000000"/>
        </w:rPr>
        <w:t xml:space="preserve">статьей 52.1</w:t>
      </w:r>
      <w:r>
        <w:rPr>
          <w:color w:val="000000"/>
        </w:rPr>
        <w:fldChar w:fldCharType="end"/>
      </w:r>
      <w:r>
        <w:t xml:space="preserve"> Федерального закона № 248-ФЗ, с периодичностью, установленной Постановлением Правительства Российской Федерации.</w:t>
      </w:r>
      <w:r/>
    </w:p>
    <w:p>
      <w:pPr>
        <w:pStyle w:val="622"/>
        <w:ind w:firstLine="708"/>
        <w:jc w:val="both"/>
      </w:pPr>
      <w:r>
        <w:t xml:space="preserve">Профилактический визит по инициативе контролируемого лица проводится муниципальными инспекторами в соответствии со </w:t>
      </w:r>
      <w:r>
        <w:fldChar w:fldCharType="begin"/>
      </w:r>
      <w:r>
        <w:instrText xml:space="preserve"> HYPERLINK "https://login.consultant.ru/link/?req=doc&amp;base=LAW&amp;n=508984&amp;dst=101391" \h </w:instrText>
      </w:r>
      <w:r>
        <w:fldChar w:fldCharType="separate"/>
      </w:r>
      <w:r>
        <w:rPr>
          <w:color w:val="000000"/>
        </w:rPr>
        <w:t xml:space="preserve">статьей 52.2</w:t>
      </w:r>
      <w:r>
        <w:rPr>
          <w:color w:val="000000"/>
        </w:rPr>
        <w:fldChar w:fldCharType="end"/>
      </w:r>
      <w:r>
        <w:t xml:space="preserve"> Федерального закона № 248-ФЗ.</w:t>
      </w:r>
      <w:r/>
    </w:p>
    <w:p>
      <w:pPr>
        <w:pStyle w:val="622"/>
        <w:ind w:firstLine="708"/>
        <w:jc w:val="both"/>
      </w:pPr>
      <w:r>
        <w:t xml:space="preserve">3.7.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</w:t>
      </w:r>
      <w:r>
        <w:t xml:space="preserve">аконом ценностям или такой вред (ущерб) причинен, муниципальный инспектор незамедлительно направляет информацию об этом руководителю Контрольного органа для принятия решения о проведении контрольных мероприятий, либо в случаях, предусмотренных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t xml:space="preserve"> № 248-ФЗ, принимает меры, указанные в </w:t>
      </w:r>
      <w:r>
        <w:fldChar w:fldCharType="begin"/>
      </w:r>
      <w:r>
        <w:instrText xml:space="preserve"> HYPERLINK "https://login.consultant.ru/link/?req=doc&amp;base=LAW&amp;n=508984&amp;dst=100996" \h </w:instrText>
      </w:r>
      <w:r>
        <w:fldChar w:fldCharType="separate"/>
      </w:r>
      <w:r>
        <w:rPr>
          <w:color w:val="000000"/>
        </w:rPr>
        <w:t xml:space="preserve">статье 90</w:t>
      </w:r>
      <w:r>
        <w:rPr>
          <w:color w:val="000000"/>
        </w:rPr>
        <w:fldChar w:fldCharType="end"/>
      </w:r>
      <w:r>
        <w:t xml:space="preserve"> Федерального закона № 248-ФЗ.</w:t>
      </w:r>
      <w:r/>
    </w:p>
    <w:p>
      <w:pPr>
        <w:pStyle w:val="601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3.8.</w:t>
      </w:r>
      <w:r>
        <w:t xml:space="preserve"> </w:t>
      </w:r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</w:t>
      </w:r>
      <w:r>
        <w:rPr>
          <w:sz w:val="28"/>
          <w:szCs w:val="28"/>
        </w:rPr>
        <w:t xml:space="preserve">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/>
    </w:p>
    <w:p>
      <w:pPr>
        <w:pStyle w:val="622"/>
        <w:jc w:val="both"/>
      </w:pPr>
      <w:r/>
      <w:r/>
    </w:p>
    <w:p>
      <w:pPr>
        <w:pStyle w:val="622"/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 Осуществление муниципального контроля на</w:t>
      </w:r>
      <w:r>
        <w:rPr>
          <w:b/>
        </w:rPr>
        <w:t xml:space="preserve"> территории Борисовского муниципального</w:t>
      </w:r>
      <w:r>
        <w:rPr>
          <w:b/>
        </w:rPr>
        <w:t xml:space="preserve"> округа</w:t>
      </w:r>
      <w:r/>
    </w:p>
    <w:p>
      <w:pPr>
        <w:pStyle w:val="622"/>
        <w:ind w:firstLine="708"/>
        <w:jc w:val="both"/>
      </w:pPr>
      <w:r/>
      <w:bookmarkStart w:id="0" w:name="P180"/>
      <w:r/>
      <w:bookmarkEnd w:id="0"/>
      <w:r>
        <w:t xml:space="preserve">4.1. При осуществлении муниципального контроля Контрольным органом осуществляется взаимодействие с контролируемыми лицами при проведении следующих контрольных мероприятий:</w:t>
      </w:r>
      <w:r/>
    </w:p>
    <w:p>
      <w:pPr>
        <w:pStyle w:val="622"/>
        <w:ind w:firstLine="708"/>
        <w:jc w:val="both"/>
      </w:pPr>
      <w:r>
        <w:t xml:space="preserve">- инспекционный визит (посредством осмотра, опроса, истребования документов, которые в соответствии с обязательными требов</w:t>
      </w:r>
      <w:r>
        <w:t xml:space="preserve">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либо объекта контроля, получения письменных объяснений, инструментального обследования);</w:t>
      </w:r>
      <w:r/>
    </w:p>
    <w:p>
      <w:pPr>
        <w:pStyle w:val="622"/>
        <w:ind w:firstLine="708"/>
        <w:jc w:val="both"/>
      </w:pPr>
      <w:r>
        <w:t xml:space="preserve">- документарная проверка (посредством получения письменных объяснений, истребования документов);</w:t>
      </w:r>
      <w:r/>
    </w:p>
    <w:p>
      <w:pPr>
        <w:pStyle w:val="622"/>
        <w:ind w:firstLine="708"/>
        <w:jc w:val="both"/>
      </w:pPr>
      <w:r>
        <w:t xml:space="preserve">- рейдовый осмотр (посредством осмотра, опроса, получения письменных объяснений, истребования документов, инструментального обследования, экспертизы (в случае необходимости));</w:t>
      </w:r>
      <w:r/>
    </w:p>
    <w:p>
      <w:pPr>
        <w:pStyle w:val="622"/>
        <w:ind w:firstLine="708"/>
        <w:jc w:val="both"/>
      </w:pPr>
      <w:r>
        <w:t xml:space="preserve">- 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  <w:r/>
    </w:p>
    <w:p>
      <w:pPr>
        <w:pStyle w:val="622"/>
        <w:ind w:firstLine="708"/>
        <w:jc w:val="both"/>
      </w:pPr>
      <w:r>
        <w:t xml:space="preserve">4.2. Без взаимодействия с контролируемыми лицами проводятся следующие контрольные мероприятия:</w:t>
      </w:r>
      <w:r/>
    </w:p>
    <w:p>
      <w:pPr>
        <w:pStyle w:val="622"/>
        <w:ind w:firstLine="708"/>
        <w:jc w:val="both"/>
      </w:pPr>
      <w:r>
        <w:t xml:space="preserve">- наблюдение за соблюдением обязательных требований (мониторинг безопасности) (посредством сбора, анализа данных об объектах муниципального контроля, имеющихся у Кон</w:t>
      </w:r>
      <w:r>
        <w:t xml:space="preserve">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</w:t>
      </w:r>
      <w:r>
        <w:t xml:space="preserve">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  <w:r/>
    </w:p>
    <w:p>
      <w:pPr>
        <w:pStyle w:val="622"/>
        <w:ind w:firstLine="708"/>
        <w:jc w:val="both"/>
      </w:pPr>
      <w:r>
        <w:t xml:space="preserve">- выездное обследование (посредством осмотра, инструментального обследование (с применением видеозаписи)).</w:t>
      </w:r>
      <w:r/>
    </w:p>
    <w:p>
      <w:pPr>
        <w:pStyle w:val="622"/>
        <w:ind w:firstLine="708"/>
        <w:jc w:val="both"/>
      </w:pPr>
      <w:r>
        <w:t xml:space="preserve">4.3. Контрольные мероприятия, указанные в </w:t>
      </w:r>
      <w:r>
        <w:fldChar w:fldCharType="begin"/>
      </w:r>
      <w:r>
        <w:instrText xml:space="preserve"> HYPERLINK \l "P180" \h </w:instrText>
      </w:r>
      <w:r>
        <w:fldChar w:fldCharType="separate"/>
      </w:r>
      <w:r>
        <w:rPr>
          <w:color w:val="000000"/>
        </w:rPr>
        <w:t xml:space="preserve">пункте 4.1</w:t>
      </w:r>
      <w:r>
        <w:rPr>
          <w:color w:val="000000"/>
        </w:rPr>
        <w:fldChar w:fldCharType="end"/>
      </w:r>
      <w:r>
        <w:t xml:space="preserve"> настоящего Положения, проводятся в форме внепланового контрольного мероприятия только по согласованию с органами прокуратуры.</w:t>
      </w:r>
      <w:r/>
    </w:p>
    <w:p>
      <w:pPr>
        <w:pStyle w:val="622"/>
        <w:ind w:firstLine="708"/>
        <w:jc w:val="both"/>
      </w:pPr>
      <w:r>
        <w:t xml:space="preserve">4.4. Плановые контрольные мероприятия при осуществлении муниципального контроля не проводятся.</w:t>
      </w:r>
      <w:r/>
    </w:p>
    <w:p>
      <w:pPr>
        <w:pStyle w:val="622"/>
        <w:ind w:firstLine="708"/>
        <w:jc w:val="both"/>
      </w:pPr>
      <w:r>
        <w:t xml:space="preserve">4.5. К проведению контрольных мероприятий могут при необходимости привлекаться специалисты, эксперты, экспертные организации в порядке, установленном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t xml:space="preserve"> № 248-ФЗ.</w:t>
      </w:r>
      <w:r/>
    </w:p>
    <w:p>
      <w:pPr>
        <w:pStyle w:val="622"/>
        <w:ind w:firstLine="708"/>
        <w:jc w:val="both"/>
      </w:pPr>
      <w:r>
        <w:t xml:space="preserve">4.6. Основанием для проведения контрольных мероприятий при взаимодействии с контролируемыми лицами является:</w:t>
      </w:r>
      <w:r/>
    </w:p>
    <w:p>
      <w:pPr>
        <w:pStyle w:val="622"/>
        <w:ind w:firstLine="708"/>
        <w:jc w:val="both"/>
      </w:pPr>
      <w:r>
        <w:t xml:space="preserve">-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r>
        <w:fldChar w:fldCharType="begin"/>
      </w:r>
      <w:r>
        <w:instrText xml:space="preserve"> HYPERLINK "https://login.consultant.ru/link/?req=doc&amp;base=LAW&amp;n=508984&amp;dst=101415" \h </w:instrText>
      </w:r>
      <w:r>
        <w:fldChar w:fldCharType="separate"/>
      </w:r>
      <w:r>
        <w:rPr>
          <w:color w:val="000000"/>
        </w:rPr>
        <w:t xml:space="preserve">статьи 60</w:t>
      </w:r>
      <w:r>
        <w:rPr>
          <w:color w:val="000000"/>
        </w:rPr>
        <w:fldChar w:fldCharType="end"/>
      </w:r>
      <w:r>
        <w:t xml:space="preserve"> Федерального закона № 248-ФЗ;</w:t>
      </w:r>
      <w:r/>
    </w:p>
    <w:p>
      <w:pPr>
        <w:pStyle w:val="622"/>
        <w:ind w:firstLine="708"/>
        <w:jc w:val="both"/>
      </w:pPr>
      <w:r>
        <w:t xml:space="preserve">-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  <w:r/>
    </w:p>
    <w:p>
      <w:pPr>
        <w:pStyle w:val="622"/>
        <w:ind w:firstLine="708"/>
        <w:jc w:val="both"/>
      </w:pPr>
      <w:r>
        <w:t xml:space="preserve">-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/>
    </w:p>
    <w:p>
      <w:pPr>
        <w:pStyle w:val="622"/>
        <w:ind w:firstLine="708"/>
        <w:jc w:val="both"/>
      </w:pPr>
      <w:r>
        <w:t xml:space="preserve">-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r>
        <w:fldChar w:fldCharType="begin"/>
      </w:r>
      <w:r>
        <w:instrText xml:space="preserve"> HYPERLINK "https://login.consultant.ru/link/?req=doc&amp;base=LAW&amp;n=508984&amp;dst=101267" \h </w:instrText>
      </w:r>
      <w:r>
        <w:fldChar w:fldCharType="separate"/>
      </w:r>
      <w:r>
        <w:rPr>
          <w:color w:val="000000"/>
        </w:rPr>
        <w:t xml:space="preserve">частью 1 статьи 95</w:t>
      </w:r>
      <w:r>
        <w:rPr>
          <w:color w:val="000000"/>
        </w:rPr>
        <w:fldChar w:fldCharType="end"/>
      </w:r>
      <w:r>
        <w:t xml:space="preserve"> Федерального закона № 248-ФЗ;</w:t>
      </w:r>
      <w:r/>
    </w:p>
    <w:p>
      <w:pPr>
        <w:pStyle w:val="622"/>
        <w:ind w:firstLine="708"/>
        <w:jc w:val="both"/>
      </w:pPr>
      <w:r>
        <w:t xml:space="preserve">-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/>
    </w:p>
    <w:p>
      <w:pPr>
        <w:pStyle w:val="622"/>
        <w:ind w:firstLine="708"/>
        <w:jc w:val="both"/>
      </w:pPr>
      <w:r>
        <w:t xml:space="preserve">- уклонение контролируемого лица от проведения профилактического визита.</w:t>
      </w:r>
      <w:r/>
    </w:p>
    <w:p>
      <w:pPr>
        <w:pStyle w:val="622"/>
        <w:ind w:firstLine="708"/>
        <w:jc w:val="both"/>
      </w:pPr>
      <w:r>
        <w:t xml:space="preserve">4.7. Если основанием для проведения внепланового контрольного мероприятия являются сведе</w:t>
      </w:r>
      <w:r>
        <w:t xml:space="preserve">ния о непосредственной угрозе причинения вреда (ущерба) охраняемым законом ценностям, Контрольный орган для принятия неотложных мер по ее предотвращению и устранению приступает к проведению вне</w:t>
      </w:r>
      <w:r>
        <w:t xml:space="preserve">планового контрольного мероприятия незамедлительно (в течение 24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r>
        <w:fldChar w:fldCharType="begin"/>
      </w:r>
      <w:r>
        <w:instrText xml:space="preserve"> HYPERLINK "https://login.consultant.ru/link/?req=doc&amp;base=LAW&amp;n=508984&amp;dst=100733" \h </w:instrText>
      </w:r>
      <w:r>
        <w:fldChar w:fldCharType="separate"/>
      </w:r>
      <w:r>
        <w:rPr>
          <w:color w:val="000000"/>
        </w:rPr>
        <w:t xml:space="preserve">частью 5 статьи 66</w:t>
      </w:r>
      <w:r>
        <w:rPr>
          <w:color w:val="000000"/>
        </w:rPr>
        <w:fldChar w:fldCharType="end"/>
      </w:r>
      <w:r>
        <w:t xml:space="preserve"> Федерального закона № 248-ФЗ. В этом случае уведомление контролируемого лица о проведении внепланового контрольного мероприятия может не проводиться.</w:t>
      </w:r>
      <w:r/>
    </w:p>
    <w:p>
      <w:pPr>
        <w:pStyle w:val="622"/>
        <w:ind w:firstLine="708"/>
        <w:jc w:val="both"/>
      </w:pPr>
      <w:r>
        <w:t xml:space="preserve">4.8. Контрольный орган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</w:t>
      </w:r>
      <w:r>
        <w:t xml:space="preserve">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Правительством Российской Федерации.</w:t>
      </w:r>
      <w:r/>
    </w:p>
    <w:p>
      <w:pPr>
        <w:pStyle w:val="622"/>
        <w:ind w:firstLine="708"/>
        <w:jc w:val="both"/>
      </w:pPr>
      <w:r>
        <w:t xml:space="preserve">4.9.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r>
        <w:fldChar w:fldCharType="begin"/>
      </w:r>
      <w:r>
        <w:instrText xml:space="preserve"> HYPERLINK "https://login.consultant.ru/link/?req=doc&amp;base=LAW&amp;n=508984&amp;dst=100364" \h </w:instrText>
      </w:r>
      <w:r>
        <w:fldChar w:fldCharType="separate"/>
      </w:r>
      <w:r>
        <w:rPr>
          <w:color w:val="000000"/>
        </w:rPr>
        <w:t xml:space="preserve">частью 8 статьи 31</w:t>
      </w:r>
      <w:r>
        <w:rPr>
          <w:color w:val="000000"/>
        </w:rPr>
        <w:fldChar w:fldCharType="end"/>
      </w:r>
      <w:r>
        <w:t xml:space="preserve"> Федерального закона № 248-ФЗ представить в Контрольный орган информацию о невозможности присутствия при проведении контрольного мероприятия, являются:</w:t>
      </w:r>
      <w:r/>
    </w:p>
    <w:p>
      <w:pPr>
        <w:pStyle w:val="622"/>
        <w:ind w:firstLine="708"/>
        <w:jc w:val="both"/>
      </w:pPr>
      <w:r>
        <w:t xml:space="preserve">- нахождение на стационарном лечении в медицинском учреждении;</w:t>
      </w:r>
      <w:r/>
    </w:p>
    <w:p>
      <w:pPr>
        <w:pStyle w:val="622"/>
        <w:ind w:firstLine="708"/>
        <w:jc w:val="both"/>
      </w:pPr>
      <w:r>
        <w:t xml:space="preserve">- нахождение за пределами Российской Федерации;</w:t>
      </w:r>
      <w:r/>
    </w:p>
    <w:p>
      <w:pPr>
        <w:pStyle w:val="622"/>
        <w:ind w:firstLine="708"/>
        <w:jc w:val="both"/>
      </w:pPr>
      <w:r>
        <w:t xml:space="preserve">- административный арест;</w:t>
      </w:r>
      <w:r/>
    </w:p>
    <w:p>
      <w:pPr>
        <w:pStyle w:val="622"/>
        <w:ind w:firstLine="708"/>
        <w:jc w:val="both"/>
      </w:pPr>
      <w:r>
        <w:t xml:space="preserve">- избрание в отношении контролируемого лица меры пресечения в виде: подписки о невыезде, запрете определенных действий, заключения под стражу, домашнего ареста.</w:t>
      </w:r>
      <w:r/>
    </w:p>
    <w:p>
      <w:pPr>
        <w:pStyle w:val="622"/>
        <w:ind w:firstLine="708"/>
        <w:jc w:val="both"/>
      </w:pPr>
      <w:r>
        <w:t xml:space="preserve">4.9.1. Информация должна содержать:</w:t>
      </w:r>
      <w:r/>
    </w:p>
    <w:p>
      <w:pPr>
        <w:pStyle w:val="622"/>
        <w:ind w:firstLine="708"/>
        <w:jc w:val="both"/>
      </w:pPr>
      <w:r>
        <w:t xml:space="preserve">- основание невозможности присутствия при проведении контрольного мероприятия;</w:t>
      </w:r>
      <w:r/>
    </w:p>
    <w:p>
      <w:pPr>
        <w:pStyle w:val="622"/>
        <w:ind w:firstLine="708"/>
        <w:jc w:val="both"/>
      </w:pPr>
      <w:r>
        <w:t xml:space="preserve">- описание обстоятельств непреодолимой силы и их продолжительность;</w:t>
      </w:r>
      <w:r/>
    </w:p>
    <w:p>
      <w:pPr>
        <w:pStyle w:val="622"/>
        <w:ind w:firstLine="708"/>
        <w:jc w:val="both"/>
      </w:pPr>
      <w:r>
        <w:t xml:space="preserve">-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  <w:r/>
    </w:p>
    <w:p>
      <w:pPr>
        <w:pStyle w:val="622"/>
        <w:ind w:firstLine="708"/>
        <w:jc w:val="both"/>
      </w:pPr>
      <w:r>
        <w:t xml:space="preserve">- указание на срок, необходимый для устранения обстоятельств, препятствующих присутствию при проведении контрольного мероприятия.</w:t>
      </w:r>
      <w:r/>
    </w:p>
    <w:p>
      <w:pPr>
        <w:pStyle w:val="622"/>
        <w:ind w:firstLine="708"/>
        <w:jc w:val="both"/>
      </w:pPr>
      <w:r>
        <w:t xml:space="preserve">4.9.2. 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  <w:r/>
    </w:p>
    <w:p>
      <w:pPr>
        <w:pStyle w:val="622"/>
        <w:ind w:firstLine="708"/>
        <w:jc w:val="both"/>
      </w:pPr>
      <w:r>
        <w:t xml:space="preserve">4.10. Для фиксации м</w:t>
      </w:r>
      <w:r>
        <w:t xml:space="preserve">униципальным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  <w:r/>
    </w:p>
    <w:p>
      <w:pPr>
        <w:pStyle w:val="622"/>
        <w:ind w:firstLine="708"/>
        <w:jc w:val="both"/>
      </w:pPr>
      <w:r>
        <w:t xml:space="preserve">- сведений, отнесенных законодательством Российской Федерации к государственной тайне;</w:t>
      </w:r>
      <w:r/>
    </w:p>
    <w:p>
      <w:pPr>
        <w:pStyle w:val="622"/>
        <w:ind w:firstLine="708"/>
        <w:jc w:val="both"/>
      </w:pPr>
      <w:r>
        <w:t xml:space="preserve">- объектов, территорий, которые законодательством Российской Федерации отнесены к режимным и особо важным объектам.</w:t>
      </w:r>
      <w:r/>
    </w:p>
    <w:p>
      <w:pPr>
        <w:pStyle w:val="622"/>
        <w:ind w:firstLine="708"/>
        <w:jc w:val="both"/>
      </w:pPr>
      <w:r>
        <w:t xml:space="preserve">4.10.1. Фотографии, аудио- и видеозаписи, используемые для фиксации доказательств, должны позволят</w:t>
      </w:r>
      <w:r>
        <w:t xml:space="preserve">ь однозначно идентифицировать объект фиксации, отражающий нарушение обязательных требований, время фиксации.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  <w:r/>
    </w:p>
    <w:p>
      <w:pPr>
        <w:pStyle w:val="622"/>
        <w:ind w:firstLine="708"/>
        <w:jc w:val="both"/>
      </w:pPr>
      <w:r>
        <w:t xml:space="preserve">4.11. Инспекционный визит проводится путем взаимодействия с конкретным контролируемым лицом и (или) владельцем (пользователем) объекта контроля по месту нахождения (осуществления деятельности) контролируемого лица (его филиалов, представительств, обособлен</w:t>
      </w:r>
      <w:r>
        <w:t xml:space="preserve">ных структурных подразделений) либо объекта контроля. 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pStyle w:val="622"/>
        <w:ind w:firstLine="708"/>
        <w:jc w:val="both"/>
      </w:pPr>
      <w:r>
        <w:t xml:space="preserve">4.11.1. Инспекционный визит проводится без предварительного уведомления контролируемого лица.</w:t>
      </w:r>
      <w:r/>
    </w:p>
    <w:p>
      <w:pPr>
        <w:pStyle w:val="622"/>
        <w:ind w:firstLine="708"/>
        <w:jc w:val="both"/>
      </w:pPr>
      <w:r>
        <w:t xml:space="preserve">4.11.2. Срок проведения инспекционного визита в одном месте осуществления деятельности либо на одном объекте контроля не может превышать 1 рабочий день.</w:t>
      </w:r>
      <w:r/>
    </w:p>
    <w:p>
      <w:pPr>
        <w:pStyle w:val="622"/>
        <w:ind w:firstLine="708"/>
        <w:jc w:val="both"/>
      </w:pPr>
      <w:r>
        <w:t xml:space="preserve">4.11.3. Контролируемые лица или их представители обязаны обеспечить беспрепятственный доступ муниципальному инспектору в здания, сооружения, помещения.</w:t>
      </w:r>
      <w:r/>
    </w:p>
    <w:p>
      <w:pPr>
        <w:pStyle w:val="622"/>
        <w:ind w:firstLine="708"/>
        <w:jc w:val="both"/>
      </w:pPr>
      <w:r>
        <w:t xml:space="preserve">4.12. Документарная проверка проводится по месту нахождения Контрольного органа, ее предметом являются искл</w:t>
      </w:r>
      <w:r>
        <w:t xml:space="preserve">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</w:t>
      </w:r>
      <w:r>
        <w:t xml:space="preserve"> и решений Контрольного органа.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/>
    </w:p>
    <w:p>
      <w:pPr>
        <w:pStyle w:val="622"/>
        <w:ind w:firstLine="708"/>
        <w:jc w:val="both"/>
      </w:pPr>
      <w:r>
        <w:t xml:space="preserve">4.12.1. О проведении документарной проверки контролируемое лицо уведомляется путем направления копии решения о проведении документарной проверки.</w:t>
      </w:r>
      <w:r/>
    </w:p>
    <w:p>
      <w:pPr>
        <w:pStyle w:val="622"/>
        <w:ind w:firstLine="708"/>
        <w:jc w:val="both"/>
      </w:pPr>
      <w:r>
        <w:t xml:space="preserve">4.12.2. В ходе документарной проверки рассматриваются документы контролируемых лиц, имеющие</w:t>
      </w:r>
      <w:r>
        <w:t xml:space="preserve">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Если имеющихся в распоряжении у контроль</w:t>
      </w:r>
      <w:r>
        <w:rPr>
          <w:szCs w:val="28"/>
        </w:rPr>
        <w:t xml:space="preserve">ного </w:t>
      </w:r>
      <w:r>
        <w:rPr>
          <w:szCs w:val="28"/>
        </w:rPr>
        <w:t xml:space="preserve">органа сведений и документов недостаточно, то в ходе документарной проверки могут совершаться сл</w:t>
      </w:r>
      <w:r>
        <w:rPr>
          <w:szCs w:val="28"/>
        </w:rPr>
        <w:t xml:space="preserve">едующие контрольные </w:t>
      </w:r>
      <w:r>
        <w:rPr>
          <w:szCs w:val="28"/>
        </w:rPr>
        <w:t xml:space="preserve">действия: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 получение письменных объяснений;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 истребование документов;</w:t>
      </w:r>
      <w:r/>
    </w:p>
    <w:p>
      <w:pPr>
        <w:pStyle w:val="62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 экспертиза.</w:t>
      </w:r>
      <w:r/>
    </w:p>
    <w:p>
      <w:pPr>
        <w:pStyle w:val="622"/>
        <w:ind w:firstLine="708"/>
        <w:jc w:val="both"/>
      </w:pPr>
      <w:r>
        <w:rPr>
          <w:szCs w:val="28"/>
        </w:rPr>
        <w:t xml:space="preserve">4.12.3.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</w:t>
      </w:r>
      <w:r>
        <w:rPr>
          <w:szCs w:val="28"/>
        </w:rPr>
        <w:t xml:space="preserve">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</w:t>
      </w:r>
      <w:r>
        <w:t xml:space="preserve"> контролируемое лицо обязано направить в Контрольный орган указанные в требовании документы.</w:t>
      </w:r>
      <w:r/>
    </w:p>
    <w:p>
      <w:pPr>
        <w:pStyle w:val="622"/>
        <w:ind w:firstLine="708"/>
        <w:jc w:val="both"/>
      </w:pPr>
      <w:r>
        <w:t xml:space="preserve">4.12.4. 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>
        <w:t xml:space="preserve">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</w:t>
      </w:r>
      <w:r>
        <w:t xml:space="preserve">письменные объяснения. Контролируемое лицо, представляющее в Контрольный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</w:t>
      </w:r>
      <w:r>
        <w:t xml:space="preserve">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  <w:r/>
    </w:p>
    <w:p>
      <w:pPr>
        <w:pStyle w:val="622"/>
        <w:ind w:firstLine="708"/>
        <w:jc w:val="both"/>
      </w:pPr>
      <w:r>
        <w:t xml:space="preserve">4.12.5. При прове</w:t>
      </w:r>
      <w:r>
        <w:t xml:space="preserve">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Контрольным органом от иных органов.</w:t>
      </w:r>
      <w:r/>
    </w:p>
    <w:p>
      <w:pPr>
        <w:pStyle w:val="622"/>
        <w:ind w:firstLine="708"/>
        <w:jc w:val="both"/>
      </w:pPr>
      <w:r>
        <w:t xml:space="preserve">4.12.6. Срок проведения документарной проверки не может превышать 10 рабочих дней. На период с момента направления Контрольным органом конт</w:t>
      </w:r>
      <w:r>
        <w:t xml:space="preserve">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</w:t>
      </w:r>
      <w:r>
        <w:t xml:space="preserve">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</w:t>
      </w:r>
      <w:r>
        <w:t xml:space="preserve">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  <w:r/>
    </w:p>
    <w:p>
      <w:pPr>
        <w:pStyle w:val="622"/>
        <w:ind w:firstLine="708"/>
        <w:jc w:val="both"/>
      </w:pPr>
      <w:r>
        <w:t xml:space="preserve">4.13. 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</w:t>
      </w:r>
      <w:r>
        <w:t xml:space="preserve">рии, на которой расположено несколько контролируемых лиц.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pStyle w:val="622"/>
        <w:ind w:firstLine="708"/>
        <w:jc w:val="both"/>
      </w:pPr>
      <w:r>
        <w:t xml:space="preserve">4.13.1. Рейдовый осмотр осуществляется в соответствии с решением Контрольного органа о проведении контрольного мероприятия и может проводиться в форме совместного (межведомственного) контрольного мероприятия.</w:t>
      </w:r>
      <w:r/>
    </w:p>
    <w:p>
      <w:pPr>
        <w:pStyle w:val="622"/>
        <w:ind w:firstLine="708"/>
        <w:jc w:val="both"/>
      </w:pPr>
      <w:r>
        <w:t xml:space="preserve">4.13.2. 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  <w:r/>
    </w:p>
    <w:p>
      <w:pPr>
        <w:pStyle w:val="622"/>
        <w:ind w:firstLine="708"/>
        <w:jc w:val="both"/>
      </w:pPr>
      <w:r>
        <w:t xml:space="preserve">4.13.3. При проведении рейдового осмотра муниципальные инспекторы вправе взаимодействовать с находящимися на объектах лицами.</w:t>
      </w:r>
      <w:r/>
    </w:p>
    <w:p>
      <w:pPr>
        <w:pStyle w:val="622"/>
        <w:ind w:firstLine="708"/>
        <w:jc w:val="both"/>
      </w:pPr>
      <w:r>
        <w:t xml:space="preserve">4.13.4. Контролиру</w:t>
      </w:r>
      <w:r>
        <w:t xml:space="preserve">емые лица обязаны обеспечить в ходе рейдового осмотра беспрепятственный доступ муниципальным инспекторам к объектам контроля, указанным в решении Контрольного органа о проведении рейдового осмотра, а также во все помещения (за исключением жилых помещений).</w:t>
      </w:r>
      <w:r/>
    </w:p>
    <w:p>
      <w:pPr>
        <w:pStyle w:val="622"/>
        <w:ind w:firstLine="708"/>
        <w:jc w:val="both"/>
      </w:pPr>
      <w:r>
        <w:t xml:space="preserve">4.13.5. В случае если в результате ре</w:t>
      </w:r>
      <w:r>
        <w:t xml:space="preserve">йдового осмотра были выявлены нарушения обязательных требований, муниципальный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  <w:r/>
    </w:p>
    <w:p>
      <w:pPr>
        <w:pStyle w:val="622"/>
        <w:ind w:firstLine="708"/>
        <w:jc w:val="both"/>
      </w:pPr>
      <w:r>
        <w:t xml:space="preserve">4.14. Выездная проверка проводится по месту нахождения (осуществления деятельности) контролируемого лица (его филиалов, представительств, обособле</w:t>
      </w:r>
      <w:r>
        <w:t xml:space="preserve">нных структурных подразделений) либо объекта контроля.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pStyle w:val="622"/>
        <w:ind w:firstLine="708"/>
        <w:jc w:val="both"/>
      </w:pPr>
      <w:r>
        <w:t xml:space="preserve">4.14.1. Выездная проверка проводится в случае, если не представляется возможным:</w:t>
      </w:r>
      <w:r/>
    </w:p>
    <w:p>
      <w:pPr>
        <w:pStyle w:val="622"/>
        <w:ind w:firstLine="708"/>
        <w:jc w:val="both"/>
      </w:pPr>
      <w:r>
        <w:t xml:space="preserve">-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  <w:r/>
    </w:p>
    <w:p>
      <w:pPr>
        <w:pStyle w:val="622"/>
        <w:ind w:firstLine="708"/>
        <w:jc w:val="both"/>
      </w:pPr>
      <w:r>
        <w:t xml:space="preserve">- оценить соответствие деятельности, действий (бездействия) контролируемог</w:t>
      </w:r>
      <w:r>
        <w:t xml:space="preserve">о лица и (или) принадлежащих ему и (или) используемых им объектов контроля обязательным требованиям без выезда на указанное в настоящем пункте место и совершения необходимых контрольных действий, предусмотренных в рамках иного вида контрольных мероприятий.</w:t>
      </w:r>
      <w:r/>
    </w:p>
    <w:p>
      <w:pPr>
        <w:pStyle w:val="622"/>
        <w:ind w:firstLine="708"/>
        <w:jc w:val="both"/>
      </w:pPr>
      <w:r>
        <w:t xml:space="preserve">4.14.2.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>
        <w:fldChar w:fldCharType="begin"/>
      </w:r>
      <w:r>
        <w:instrText xml:space="preserve"> HYPERLINK "https://login.consultant.ru/link/?req=doc&amp;base=LAW&amp;n=508984&amp;dst=100225" \h </w:instrText>
      </w:r>
      <w:r>
        <w:fldChar w:fldCharType="separate"/>
      </w:r>
      <w:r>
        <w:rPr>
          <w:color w:val="000000"/>
        </w:rPr>
        <w:t xml:space="preserve">статьей 21</w:t>
      </w:r>
      <w:r>
        <w:rPr>
          <w:color w:val="000000"/>
        </w:rPr>
        <w:fldChar w:fldCharType="end"/>
      </w:r>
      <w:r>
        <w:t xml:space="preserve"> Федерального закона № 248-ФЗ, если иное не предусмотрено федеральным законом о данном виде муниципального контроля.</w:t>
      </w:r>
      <w:r/>
    </w:p>
    <w:p>
      <w:pPr>
        <w:pStyle w:val="622"/>
        <w:ind w:firstLine="708"/>
        <w:jc w:val="both"/>
      </w:pPr>
      <w:r>
        <w:t xml:space="preserve">4.14.3. Срок проведени</w:t>
      </w:r>
      <w:r>
        <w:t xml:space="preserve">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/>
    </w:p>
    <w:p>
      <w:pPr>
        <w:pStyle w:val="622"/>
        <w:ind w:firstLine="708"/>
        <w:jc w:val="both"/>
      </w:pPr>
      <w:r>
        <w:t xml:space="preserve">4.1</w:t>
      </w:r>
      <w:r>
        <w:t xml:space="preserve">4.4. Требования подпункта 4.14.3 настоящего пункта распространяются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r>
        <w:fldChar w:fldCharType="begin"/>
      </w:r>
      <w:r>
        <w:instrText xml:space="preserve"> HYPERLINK "https://login.consultant.ru/link/?req=doc&amp;base=LAW&amp;n=528389&amp;dst=154" \h </w:instrText>
      </w:r>
      <w:r>
        <w:fldChar w:fldCharType="separate"/>
      </w:r>
      <w:r>
        <w:rPr>
          <w:color w:val="000000"/>
        </w:rPr>
        <w:t xml:space="preserve">пунктом 2 части 1.1 статьи 4</w:t>
      </w:r>
      <w:r>
        <w:rPr>
          <w:color w:val="000000"/>
        </w:rPr>
        <w:fldChar w:fldCharType="end"/>
      </w:r>
      <w:r>
        <w:t xml:space="preserve"> Федерального закона от 24 июля 2007 года № 209-ФЗ «О развитии малого и среднего предпринимательства в Российской Федерации» для малых пр</w:t>
      </w:r>
      <w:r>
        <w:t xml:space="preserve">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>
        <w:t xml:space="preserve"> указанным пунктом для микропредприятий.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>
        <w:fldChar w:fldCharType="begin"/>
      </w:r>
      <w:r>
        <w:instrText xml:space="preserve"> HYPERLINK "https://login.consultant.ru/link/?req=doc&amp;base=LAW&amp;n=526417&amp;dst=28099" \h </w:instrText>
      </w:r>
      <w:r>
        <w:fldChar w:fldCharType="separate"/>
      </w:r>
      <w:r>
        <w:rPr>
          <w:color w:val="000000"/>
        </w:rPr>
        <w:t xml:space="preserve">подпунктом 19.6 пункта 1 статьи 265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Налогового кодекса Российской Федерации.</w:t>
      </w:r>
      <w:r/>
    </w:p>
    <w:p>
      <w:pPr>
        <w:pStyle w:val="622"/>
        <w:ind w:firstLine="708"/>
        <w:jc w:val="both"/>
      </w:pPr>
      <w:r>
        <w:t xml:space="preserve">4.15. Наблюдение за соблюдением обязательных требований (мониторинг безопасности) осуществляется по месту нахождения муниципального инспектора постоянно (систематически, регулярно, непрерывно) на основании заданий Контрольного органа.</w:t>
      </w:r>
      <w:r/>
    </w:p>
    <w:p>
      <w:pPr>
        <w:pStyle w:val="622"/>
        <w:ind w:firstLine="708"/>
        <w:jc w:val="both"/>
      </w:pPr>
      <w:r>
        <w:t xml:space="preserve">4.15.1. Форма задания об осуществлении наблюдения за соблюдением обязательных требований (мониторинг безопасности) утверждается Контрольным органом.</w:t>
      </w:r>
      <w:r/>
    </w:p>
    <w:p>
      <w:pPr>
        <w:pStyle w:val="622"/>
        <w:ind w:firstLine="708"/>
        <w:jc w:val="both"/>
      </w:pPr>
      <w:r>
        <w:t xml:space="preserve">4.15.2. При наблюдении за соблюдением обязательных требований (мониторинга безопасности) на контролируемых лиц не возлагаются обязанности, не установленные обязательными требованиями.</w:t>
      </w:r>
      <w:r/>
    </w:p>
    <w:p>
      <w:pPr>
        <w:pStyle w:val="622"/>
        <w:ind w:firstLine="708"/>
        <w:jc w:val="both"/>
      </w:pPr>
      <w:r>
        <w:t xml:space="preserve">4.15.3.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</w:t>
      </w:r>
      <w:r>
        <w:t xml:space="preserve">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решения, предусмотренные </w:t>
      </w:r>
      <w:r>
        <w:fldChar w:fldCharType="begin"/>
      </w:r>
      <w:r>
        <w:instrText xml:space="preserve"> HYPERLINK "https://login.consultant.ru/link/?req=doc&amp;base=LAW&amp;n=508984&amp;dst=101237" \h </w:instrText>
      </w:r>
      <w:r>
        <w:fldChar w:fldCharType="separate"/>
      </w:r>
      <w:r>
        <w:rPr>
          <w:color w:val="000000"/>
        </w:rPr>
        <w:t xml:space="preserve">частью 3 статьи 74</w:t>
      </w:r>
      <w:r>
        <w:rPr>
          <w:color w:val="000000"/>
        </w:rPr>
        <w:fldChar w:fldCharType="end"/>
      </w:r>
      <w:r>
        <w:t xml:space="preserve"> Федерального закона №  248-ФЗ.</w:t>
      </w:r>
      <w:r/>
    </w:p>
    <w:p>
      <w:pPr>
        <w:pStyle w:val="622"/>
        <w:ind w:firstLine="708"/>
        <w:jc w:val="both"/>
      </w:pPr>
      <w:r>
        <w:t xml:space="preserve">4.16.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</w:t>
      </w:r>
      <w:r>
        <w:t xml:space="preserve">ществления деятельности гражданина, месту нахождения объекта контроля, при этом не допускается взаимодействие с контролируемым лицом. Выездное обследование, указанное в настоящем пункте, может быть проведено с использованием беспилотных аппаратов (систем).</w:t>
      </w:r>
      <w:r/>
    </w:p>
    <w:p>
      <w:pPr>
        <w:pStyle w:val="622"/>
        <w:ind w:firstLine="708"/>
        <w:jc w:val="both"/>
      </w:pPr>
      <w:r>
        <w:t xml:space="preserve">4.16.1. В ходе выездного обследования муниципальный инспектор имеет право осуществлять осмотр общедоступных (открытых для посещения неограниченным кругом лиц) объектов контроля.</w:t>
      </w:r>
      <w:r/>
    </w:p>
    <w:p>
      <w:pPr>
        <w:pStyle w:val="622"/>
        <w:ind w:firstLine="708"/>
        <w:jc w:val="both"/>
      </w:pPr>
      <w:r>
        <w:t xml:space="preserve">4.16.2. По результатам проведения выездного обследования решение, предусмотренное </w:t>
      </w:r>
      <w:r>
        <w:fldChar w:fldCharType="begin"/>
      </w:r>
      <w:r>
        <w:instrText xml:space="preserve"> HYPERLINK "https://login.consultant.ru/link/?req=doc&amp;base=LAW&amp;n=508984&amp;dst=101000" \h </w:instrText>
      </w:r>
      <w:r>
        <w:fldChar w:fldCharType="separate"/>
      </w:r>
      <w:r>
        <w:rPr>
          <w:color w:val="000000"/>
        </w:rPr>
        <w:t xml:space="preserve">пунктом 2 части 2 статьи 90</w:t>
      </w:r>
      <w:r>
        <w:rPr>
          <w:color w:val="000000"/>
        </w:rPr>
        <w:fldChar w:fldCharType="end"/>
      </w:r>
      <w:r>
        <w:t xml:space="preserve"> Федерального закона № 248-ФЗ, не принимается, за исключением случаев, установленных федеральным законом о виде контроля.</w:t>
      </w:r>
      <w:r/>
    </w:p>
    <w:p>
      <w:pPr>
        <w:pStyle w:val="622"/>
        <w:ind w:firstLine="708"/>
        <w:jc w:val="both"/>
      </w:pPr>
      <w:r>
        <w:t xml:space="preserve">4.16.3.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r>
        <w:fldChar w:fldCharType="begin"/>
      </w:r>
      <w:r>
        <w:instrText xml:space="preserve"> HYPERLINK "https://login.consultant.ru/link/?req=doc&amp;base=LAW&amp;n=508984&amp;dst=100999" \h </w:instrText>
      </w:r>
      <w:r>
        <w:fldChar w:fldCharType="separate"/>
      </w:r>
      <w:r>
        <w:rPr>
          <w:color w:val="000000"/>
        </w:rPr>
        <w:t xml:space="preserve">пунктом 1 части 2 статьи 90</w:t>
      </w:r>
      <w:r>
        <w:rPr>
          <w:color w:val="000000"/>
        </w:rPr>
        <w:fldChar w:fldCharType="end"/>
      </w:r>
      <w:r>
        <w:t xml:space="preserve"> Федерального закона № 248-ФЗ, в случае указания такой возможности в федеральном законе о виде контроля, законе Белгородской области о виде контроля.</w:t>
      </w:r>
      <w:r/>
    </w:p>
    <w:p>
      <w:pPr>
        <w:pStyle w:val="622"/>
        <w:jc w:val="both"/>
      </w:pPr>
      <w:r/>
      <w:r/>
    </w:p>
    <w:p>
      <w:pPr>
        <w:pStyle w:val="622"/>
        <w:jc w:val="center"/>
        <w:rPr>
          <w:b/>
          <w:color w:val="000000"/>
        </w:rPr>
      </w:pPr>
      <w:r>
        <w:rPr>
          <w:b/>
          <w:color w:val="000000"/>
        </w:rPr>
        <w:t xml:space="preserve">5. Результаты контрольного мероприятия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.1. По окончании проведения контрольного мероприятия, предусматривающего взаимодействие с контролируемым лицом, муниципальный инспектор составляет </w:t>
      </w:r>
      <w:r>
        <w:fldChar w:fldCharType="begin"/>
      </w:r>
      <w:r>
        <w:instrText xml:space="preserve"> HYPERLINK "https://login.consultant.ru/link/?req=doc&amp;base=LAW&amp;n=507514&amp;dst=100411" \h </w:instrText>
      </w:r>
      <w:r>
        <w:fldChar w:fldCharType="separate"/>
      </w:r>
      <w:r>
        <w:rPr>
          <w:color w:val="000000"/>
        </w:rPr>
        <w:t xml:space="preserve">акт</w:t>
      </w:r>
      <w:r>
        <w:rPr>
          <w:color w:val="000000"/>
        </w:rPr>
        <w:fldChar w:fldCharType="end"/>
      </w:r>
      <w:r>
        <w:t xml:space="preserve"> контрольного мероприятия (далее - акт) по форме, утвержденной приказом Минэкономразвития России от 31 мар</w:t>
      </w:r>
      <w:r>
        <w:t xml:space="preserve">та 2021 года № 151 «</w:t>
      </w:r>
      <w:r>
        <w:t xml:space="preserve">О типовых формах документов, используемых </w:t>
      </w:r>
      <w:r>
        <w:t xml:space="preserve">контрольным (надзорным) органом»</w:t>
      </w:r>
      <w:r>
        <w:t xml:space="preserve">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</w:t>
      </w:r>
      <w:r>
        <w:t xml:space="preserve">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</w:t>
      </w:r>
      <w:r>
        <w:t xml:space="preserve">ия обязательных требований, должны быть приобщены к акту.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.1.1. Оформление акта производится на месте проведения контрольного (надзорн</w:t>
      </w:r>
      <w:r>
        <w:t xml:space="preserve">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t xml:space="preserve"> №</w:t>
      </w:r>
      <w:r>
        <w:t xml:space="preserve"> 248-ФЗ, если иной порядок оформления акта не </w:t>
      </w:r>
      <w:r>
        <w:t xml:space="preserve">установлен Федеральным законом №</w:t>
      </w:r>
      <w:r>
        <w:t xml:space="preserve"> 248-ФЗ или Правительством Российской Федерации.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.1.2. Акт,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.2. Информация о контрольных мероприятиях размещается в едином реестре контрольных (надзорных) мероприятий.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.3. Информирование контролируемых лиц о совершаемых муниципальным инспектором действиях и принимаемых решениях осуществляется в соответствии с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№</w:t>
      </w:r>
      <w:r>
        <w:t xml:space="preserve"> 248-ФЗ.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.4. Гражданин, не осуществляющий предпринимательской деятельности, являющийся контролируемым лицом, информируется о совершаемых му</w:t>
      </w:r>
      <w:r>
        <w:t xml:space="preserve">ниципальным инспектором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</w:t>
      </w:r>
      <w:r>
        <w:t xml:space="preserve">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</w:t>
      </w:r>
      <w:r>
        <w:t xml:space="preserve">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.5. В случае отсутствия выявленных нарушений обязательных требований при проведении контрольного мероприятия сведения об этом вносятся в еди</w:t>
      </w:r>
      <w:r>
        <w:t xml:space="preserve">ный реестр контрольных (надзорных) мероприятий. Муниципальный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.6. В случае выявления при проведении контрольного мероприятия нарушений обязательных требований контролируемым лицом Контрольный орган принимает меры, предусмотренные </w:t>
      </w:r>
      <w:r>
        <w:fldChar w:fldCharType="begin"/>
      </w:r>
      <w:r>
        <w:instrText xml:space="preserve"> HYPERLINK "https://login.consultant.ru/link/?req=doc&amp;base=LAW&amp;n=508984&amp;dst=100996" \h </w:instrText>
      </w:r>
      <w:r>
        <w:fldChar w:fldCharType="separate"/>
      </w:r>
      <w:r>
        <w:rPr>
          <w:color w:val="000000"/>
        </w:rPr>
        <w:t xml:space="preserve">статьей 90</w:t>
      </w:r>
      <w:r>
        <w:rPr>
          <w:color w:val="000000"/>
        </w:rPr>
        <w:fldChar w:fldCharType="end"/>
      </w:r>
      <w:r>
        <w:t xml:space="preserve"> Федерального закона №</w:t>
      </w:r>
      <w:r>
        <w:t xml:space="preserve"> 248-ФЗ.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.7. При наличии</w:t>
      </w:r>
      <w:r>
        <w:t xml:space="preserve"> обстоятельств, вследствие которых исполнение решения Контрольного органа невозможно в установленные сроки, уполномоченное должностное лицо Контрольного органа может отсрочить исполнение решения на срок до 1 года, о чем принимается соответствующее решение.</w:t>
      </w:r>
      <w:r/>
    </w:p>
    <w:p>
      <w:pPr>
        <w:pStyle w:val="622"/>
        <w:ind w:firstLine="708"/>
        <w:jc w:val="both"/>
      </w:pPr>
      <w:r>
        <w:t xml:space="preserve">Решение об отсрочке исполнения решения принимается уполномоченным должностным лицом Контрольного органа в порядке, предусмотренном </w:t>
      </w:r>
      <w:r>
        <w:fldChar w:fldCharType="begin"/>
      </w:r>
      <w:r>
        <w:instrText xml:space="preserve"> HYPERLINK "https://login.consultant.ru/link/?req=doc&amp;base=LAW&amp;n=508984&amp;dst=100423" \h </w:instrText>
      </w:r>
      <w:r>
        <w:fldChar w:fldCharType="separate"/>
      </w:r>
      <w:r>
        <w:rPr>
          <w:color w:val="000000"/>
        </w:rPr>
        <w:t xml:space="preserve">статьями 39</w:t>
      </w:r>
      <w:r>
        <w:rPr>
          <w:color w:val="000000"/>
        </w:rPr>
        <w:fldChar w:fldCharType="end"/>
      </w:r>
      <w:r>
        <w:rPr>
          <w:color w:val="000000"/>
        </w:rPr>
        <w:t xml:space="preserve"> - </w:t>
      </w:r>
      <w:r>
        <w:fldChar w:fldCharType="begin"/>
      </w:r>
      <w:r>
        <w:instrText xml:space="preserve"> HYPERLINK "https://login.consultant.ru/link/?req=doc&amp;base=LAW&amp;n=508984&amp;dst=100468" \h </w:instrText>
      </w:r>
      <w:r>
        <w:fldChar w:fldCharType="separate"/>
      </w:r>
      <w:r>
        <w:rPr>
          <w:color w:val="000000"/>
        </w:rPr>
        <w:t xml:space="preserve">43</w:t>
      </w:r>
      <w:r>
        <w:rPr>
          <w:color w:val="000000"/>
        </w:rPr>
        <w:fldChar w:fldCharType="end"/>
      </w:r>
      <w:r>
        <w:t xml:space="preserve"> Федерального закона №</w:t>
      </w:r>
      <w:r>
        <w:t xml:space="preserve"> 248-ФЗ.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.8. В случае обнаружения достаточных</w:t>
      </w:r>
      <w:r>
        <w:t xml:space="preserve"> данных, указывающих на наличие административного правонарушения, предусмотренного административным законодательством Российской Федерации, либо неисполнения ранее выданного предписания об устранении правонарушения (по истечении указанного в нем срока) мун</w:t>
      </w:r>
      <w:r>
        <w:t xml:space="preserve">иципальный инспектор составляет протокол об административном правонарушении, а в случае, если принятие решения по данному вопросу относится к компетенции надзорного органа исполнительной власти Белгородской области, осуществляющего региональный государстве</w:t>
      </w:r>
      <w:r>
        <w:t xml:space="preserve">нный надзор, направляет материалы проверки для рассмотрения и принятия решения о привлечении к административной ответственности виновного лица в надзорный орган исполнительной власти Белгородской области, осуществляющий региональный государственный надзор.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.9. Муниципальный инспектор при осуществлении муниципального контроля взаимоде</w:t>
      </w:r>
      <w:r>
        <w:t xml:space="preserve">йствует в установленном порядке с федеральными органами исполнительной власти и их территориальными органами, с органами исполнительной власти Белгородской области, органами местного самоуправления, правоохранительными органами, организациями и гражданами.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.10. В случае выявления в ходе проведения контрольного мероприятия в рамках осуществления муниц</w:t>
      </w:r>
      <w:r>
        <w:t xml:space="preserve">ипального контроля нарушений обязательных требований, за которые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.10.1. В случае если выявленные</w:t>
      </w:r>
      <w:r>
        <w:t xml:space="preserve"> нарушения обязательных требований не устранены до окончания проведения контрольного мероприятия, обязательного профилактического визита, контролируемому лицу выдается предписание об устранении выявленных нарушений обязательных требований в соответствии со</w:t>
      </w:r>
      <w:r>
        <w:rPr>
          <w:color w:val="000000"/>
        </w:rPr>
        <w:t xml:space="preserve"> </w:t>
      </w:r>
      <w:r>
        <w:fldChar w:fldCharType="begin"/>
      </w:r>
      <w:r>
        <w:instrText xml:space="preserve"> HYPERLINK "https://login.consultant.ru/link/?req=doc&amp;base=LAW&amp;n=508984&amp;dst=101482" \h </w:instrText>
      </w:r>
      <w:r>
        <w:fldChar w:fldCharType="separate"/>
      </w:r>
      <w:r>
        <w:rPr>
          <w:color w:val="000000"/>
        </w:rPr>
        <w:t xml:space="preserve">статьей 90.1</w:t>
      </w:r>
      <w:r>
        <w:rPr>
          <w:color w:val="000000"/>
        </w:rPr>
        <w:fldChar w:fldCharType="end"/>
      </w:r>
      <w:r>
        <w:t xml:space="preserve"> Федерального закона №</w:t>
      </w:r>
      <w:r>
        <w:t xml:space="preserve"> 248-ФЗ.</w:t>
      </w:r>
      <w:r/>
    </w:p>
    <w:p>
      <w:pPr>
        <w:pStyle w:val="622"/>
        <w:ind w:firstLine="708"/>
        <w:jc w:val="both"/>
      </w:pPr>
      <w:r>
        <w:t xml:space="preserve">5</w:t>
      </w:r>
      <w:r>
        <w:t xml:space="preserve">.10.2.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</w:t>
      </w:r>
      <w:r>
        <w:rPr>
          <w:color w:val="000000"/>
        </w:rPr>
        <w:t xml:space="preserve"> </w:t>
      </w:r>
      <w:r>
        <w:fldChar w:fldCharType="begin"/>
      </w:r>
      <w:r>
        <w:instrText xml:space="preserve"> HYPERLINK "https://login.consultant.ru/link/?req=doc&amp;base=LAW&amp;n=508984&amp;dst=101491" \h </w:instrText>
      </w:r>
      <w:r>
        <w:fldChar w:fldCharType="separate"/>
      </w:r>
      <w:r>
        <w:rPr>
          <w:color w:val="000000"/>
        </w:rPr>
        <w:t xml:space="preserve">статьей 90.2</w:t>
      </w:r>
      <w:r>
        <w:rPr>
          <w:color w:val="000000"/>
        </w:rPr>
        <w:fldChar w:fldCharType="end"/>
      </w:r>
      <w:r>
        <w:t xml:space="preserve"> Федерального закона №</w:t>
      </w:r>
      <w:r>
        <w:t xml:space="preserve"> 248-ФЗ.</w:t>
      </w:r>
      <w:r/>
    </w:p>
    <w:p>
      <w:pPr>
        <w:pStyle w:val="622"/>
        <w:jc w:val="both"/>
      </w:pPr>
      <w:r/>
      <w:r/>
    </w:p>
    <w:p>
      <w:pPr>
        <w:pStyle w:val="622"/>
        <w:jc w:val="center"/>
        <w:rPr>
          <w:b/>
        </w:rPr>
      </w:pPr>
      <w:r>
        <w:rPr>
          <w:b/>
        </w:rPr>
        <w:t xml:space="preserve">6. Обжалование решений Контрольного органа,</w:t>
      </w:r>
      <w:r>
        <w:rPr>
          <w:b/>
        </w:rPr>
        <w:t xml:space="preserve"> </w:t>
      </w:r>
      <w:r>
        <w:rPr>
          <w:b/>
        </w:rPr>
        <w:t xml:space="preserve">действий (бездействия) его должностных лиц</w:t>
      </w:r>
      <w:r/>
    </w:p>
    <w:p>
      <w:pPr>
        <w:pStyle w:val="622"/>
        <w:ind w:firstLine="708"/>
        <w:jc w:val="both"/>
      </w:pPr>
      <w:r>
        <w:t xml:space="preserve">6.1. Решения Контрольного органа, действия (бездействие) его должностных лиц могут быть обжалованы контролируемым лицом, его представителем в порядке, установленном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00"/>
        </w:rPr>
        <w:t xml:space="preserve"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№ 248-ФЗ.</w:t>
      </w:r>
      <w:r/>
    </w:p>
    <w:p>
      <w:pPr>
        <w:pStyle w:val="622"/>
        <w:ind w:firstLine="708"/>
        <w:jc w:val="both"/>
      </w:pPr>
      <w:r>
        <w:t xml:space="preserve">6.2. В соответствии с </w:t>
      </w:r>
      <w:r>
        <w:fldChar w:fldCharType="begin"/>
      </w:r>
      <w:r>
        <w:instrText xml:space="preserve"> HYPERLINK "https://login.consultant.ru/link/?req=doc&amp;base=LAW&amp;n=508984&amp;dst=100427" \h </w:instrText>
      </w:r>
      <w:r>
        <w:fldChar w:fldCharType="separate"/>
      </w:r>
      <w:r>
        <w:rPr>
          <w:color w:val="000000"/>
        </w:rPr>
        <w:t xml:space="preserve">частью 4 статьи 39</w:t>
      </w:r>
      <w:r>
        <w:rPr>
          <w:color w:val="000000"/>
        </w:rPr>
        <w:fldChar w:fldCharType="end"/>
      </w:r>
      <w:r>
        <w:t xml:space="preserve"> Федерального закона N 248-ФЗ досудебный порядок подачи жалоб при осуществлении муниципального контроля не применяется.</w:t>
      </w:r>
      <w:r/>
    </w:p>
    <w:p>
      <w:pPr>
        <w:pStyle w:val="622"/>
        <w:jc w:val="center"/>
        <w:rPr>
          <w:b/>
        </w:rPr>
      </w:pPr>
      <w:r/>
      <w:bookmarkStart w:id="1" w:name="P295"/>
      <w:r/>
      <w:bookmarkEnd w:id="1"/>
      <w:r>
        <w:rPr>
          <w:b/>
        </w:rPr>
      </w:r>
      <w:r/>
    </w:p>
    <w:p>
      <w:pPr>
        <w:pStyle w:val="622"/>
        <w:ind w:firstLine="708"/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 Ключевые показатели муниципального контроля и</w:t>
      </w:r>
      <w:r/>
    </w:p>
    <w:p>
      <w:pPr>
        <w:pStyle w:val="622"/>
        <w:jc w:val="center"/>
        <w:rPr>
          <w:b/>
        </w:rPr>
      </w:pPr>
      <w:r>
        <w:rPr>
          <w:b/>
        </w:rPr>
        <w:t xml:space="preserve">их целевые значения, индикативные показатели</w:t>
      </w:r>
      <w:r>
        <w:rPr>
          <w:b/>
        </w:rPr>
        <w:t xml:space="preserve"> </w:t>
      </w:r>
      <w:r>
        <w:rPr>
          <w:b/>
        </w:rPr>
        <w:t xml:space="preserve">для муниципального контроля</w:t>
      </w:r>
      <w:r/>
    </w:p>
    <w:p>
      <w:pPr>
        <w:pStyle w:val="622"/>
        <w:ind w:firstLine="708"/>
        <w:jc w:val="both"/>
      </w:pPr>
      <w:r>
        <w:t xml:space="preserve">7.1. Ключевые показатели муниципального контроля и их целевые значения, индикативные показатели для муниципального контроля установлены</w:t>
      </w:r>
      <w:r>
        <w:rPr>
          <w:color w:val="000000"/>
        </w:rPr>
        <w:t xml:space="preserve"> </w:t>
      </w:r>
      <w:r>
        <w:fldChar w:fldCharType="begin"/>
      </w:r>
      <w:r>
        <w:instrText xml:space="preserve"> HYPERLINK \l "P305" \h </w:instrText>
      </w:r>
      <w:r>
        <w:fldChar w:fldCharType="separate"/>
      </w:r>
      <w:r>
        <w:rPr>
          <w:color w:val="000000"/>
        </w:rPr>
        <w:t xml:space="preserve">приложением</w:t>
      </w:r>
      <w:r>
        <w:rPr>
          <w:color w:val="000000"/>
        </w:rPr>
        <w:fldChar w:fldCharType="end"/>
      </w:r>
      <w:r>
        <w:t xml:space="preserve"> к настоящему Положению.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01"/>
        <w:jc w:val="center"/>
        <w:tabs>
          <w:tab w:val="left" w:pos="7020" w:leader="none"/>
        </w:tabs>
      </w:pPr>
      <w:r>
        <w:t xml:space="preserve">___________________________</w:t>
      </w:r>
      <w:r>
        <w:t xml:space="preserve">____</w:t>
      </w:r>
      <w:r>
        <w:t xml:space="preserve">_ </w:t>
      </w:r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</w:pPr>
      <w:r/>
      <w:r/>
    </w:p>
    <w:p>
      <w:pPr>
        <w:pStyle w:val="601"/>
        <w:jc w:val="center"/>
        <w:tabs>
          <w:tab w:val="left" w:pos="7020" w:leader="none"/>
        </w:tabs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850" w:bottom="709" w:left="1701" w:header="708" w:footer="708" w:gutter="0"/>
          <w:pgNumType w:start="2"/>
          <w:cols w:num="1" w:sep="0" w:space="708" w:equalWidth="1"/>
          <w:docGrid w:linePitch="360"/>
        </w:sectPr>
      </w:pPr>
      <w:r>
        <w:rPr>
          <w:sz w:val="28"/>
          <w:szCs w:val="28"/>
        </w:rPr>
      </w:r>
      <w:r/>
    </w:p>
    <w:p>
      <w:pPr>
        <w:pStyle w:val="601"/>
        <w:ind w:left="9204"/>
        <w:rPr>
          <w:b/>
          <w:szCs w:val="28"/>
        </w:rPr>
      </w:pPr>
      <w:r>
        <w:rPr>
          <w:b/>
          <w:szCs w:val="28"/>
        </w:rPr>
        <w:t xml:space="preserve">Приложение</w:t>
      </w:r>
      <w:r>
        <w:rPr>
          <w:b/>
          <w:szCs w:val="28"/>
        </w:rPr>
      </w:r>
      <w:r/>
    </w:p>
    <w:p>
      <w:pPr>
        <w:pStyle w:val="601"/>
        <w:ind w:left="9204"/>
        <w:rPr>
          <w:b/>
          <w:szCs w:val="28"/>
        </w:rPr>
      </w:pPr>
      <w:r>
        <w:rPr>
          <w:b/>
          <w:szCs w:val="28"/>
        </w:rPr>
        <w:t xml:space="preserve">к решению Совета депутатов</w:t>
      </w:r>
      <w:r/>
    </w:p>
    <w:p>
      <w:pPr>
        <w:pStyle w:val="601"/>
        <w:ind w:left="9204"/>
        <w:rPr>
          <w:b/>
          <w:szCs w:val="28"/>
        </w:rPr>
      </w:pPr>
      <w:r>
        <w:rPr>
          <w:b/>
          <w:szCs w:val="28"/>
        </w:rPr>
        <w:t xml:space="preserve">Борисовского муниципального округа</w:t>
      </w:r>
      <w:r>
        <w:rPr>
          <w:b/>
          <w:szCs w:val="28"/>
        </w:rPr>
      </w:r>
      <w:r/>
    </w:p>
    <w:p>
      <w:pPr>
        <w:pStyle w:val="601"/>
        <w:ind w:left="9204"/>
        <w:rPr>
          <w:b/>
          <w:szCs w:val="28"/>
        </w:rPr>
      </w:pPr>
      <w:r>
        <w:rPr>
          <w:b/>
          <w:szCs w:val="28"/>
        </w:rPr>
        <w:t xml:space="preserve">«22»  </w:t>
      </w:r>
      <w:r>
        <w:rPr>
          <w:b/>
          <w:szCs w:val="28"/>
        </w:rPr>
        <w:t xml:space="preserve">мая 2026</w:t>
      </w:r>
      <w:r>
        <w:rPr>
          <w:b/>
          <w:szCs w:val="28"/>
        </w:rPr>
        <w:t xml:space="preserve"> г.  № 152</w:t>
      </w:r>
      <w:r/>
    </w:p>
    <w:p>
      <w:pPr>
        <w:pStyle w:val="601"/>
        <w:ind w:left="4253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1"/>
        <w:ind w:left="4253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  <w:t xml:space="preserve">Перечень ключевых показателей оценки результативности и эффективности</w:t>
      </w:r>
      <w:r/>
    </w:p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  <w:t xml:space="preserve">контрольной деятельности администрации Борисовского муниципального округа и их целевое значение</w:t>
      </w:r>
      <w:r/>
    </w:p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</w:r>
      <w:r/>
    </w:p>
    <w:tbl>
      <w:tblPr>
        <w:tblW w:w="14175" w:type="dxa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4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3827"/>
        <w:gridCol w:w="1701"/>
        <w:gridCol w:w="1559"/>
        <w:gridCol w:w="2552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Наименование показателя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Формула расчета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Комментарии (интерпретация значений)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Значение показателя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  <w:p>
            <w:pPr>
              <w:pStyle w:val="60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(текущее/</w:t>
            </w:r>
            <w:r/>
          </w:p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базовое)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Целевые значения показателей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Источник данных для определения значения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показателя</w:t>
            </w:r>
            <w:r>
              <w:rPr>
                <w:b/>
                <w:color w:val="00000a"/>
                <w:sz w:val="23"/>
                <w:szCs w:val="23"/>
              </w:rPr>
            </w:r>
            <w:r/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color w:val="00000a"/>
                <w:sz w:val="23"/>
                <w:szCs w:val="23"/>
              </w:rPr>
            </w:pPr>
            <w:r>
              <w:rPr>
                <w:b/>
                <w:color w:val="00000a"/>
                <w:sz w:val="23"/>
                <w:szCs w:val="23"/>
              </w:rPr>
              <w:t xml:space="preserve">6</w:t>
            </w:r>
            <w:r/>
          </w:p>
        </w:tc>
      </w:tr>
      <w:tr>
        <w:trPr>
          <w:trHeight w:val="50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Борисовского муниципального округа</w:t>
            </w:r>
            <w:r/>
          </w:p>
        </w:tc>
      </w:tr>
      <w:tr>
        <w:trPr>
          <w:trHeight w:val="50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Муниципальный жилищный контроль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Доля граждан, проживающих в муниципальном жилищном фонде на территории Борисовского муниципального округа, пострадавших и (или) погибших в результате нарушения обязательных требований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Дг=П/Ч*100%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 Дг – ключевой показатель; </w:t>
            </w:r>
            <w:r/>
          </w:p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П – количество пострадавших и (или) погибших в результате нарушения обязательных требований граждан, проживающих в муниципальном жилищном фонде на территории  Борисовского муниципального округа, </w:t>
            </w:r>
            <w:r/>
          </w:p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Ч - количество граждан, проживающих в муниципальном жилищном фонде Борисовского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00000a"/>
              </w:rPr>
            </w:pPr>
            <w:r>
              <w:rPr>
                <w:color w:val="00000a"/>
              </w:rPr>
              <w:t xml:space="preserve">Территориальный орган Федеральной службы государственной статистики по Белгородской области</w:t>
            </w:r>
            <w:r/>
          </w:p>
        </w:tc>
      </w:tr>
    </w:tbl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1"/>
        <w:jc w:val="center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1"/>
        <w:jc w:val="center"/>
        <w:tabs>
          <w:tab w:val="left" w:pos="7020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709" w:bottom="1701" w:left="709" w:header="709" w:footer="709" w:gutter="0"/>
          <w:pgNumType w:start="2"/>
          <w:cols w:num="1" w:sep="0" w:space="708" w:equalWidth="1"/>
          <w:docGrid w:linePitch="360"/>
        </w:sectPr>
      </w:pPr>
      <w:r>
        <w:rPr>
          <w:sz w:val="28"/>
          <w:szCs w:val="28"/>
        </w:rPr>
      </w:r>
      <w:r/>
    </w:p>
    <w:p>
      <w:pPr>
        <w:pStyle w:val="601"/>
        <w:ind w:left="426" w:hanging="142"/>
        <w:jc w:val="center"/>
        <w:rPr>
          <w:rFonts w:eastAsia="Calibri"/>
          <w:b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 xml:space="preserve">Перечень</w:t>
      </w:r>
      <w:r/>
    </w:p>
    <w:p>
      <w:pPr>
        <w:pStyle w:val="601"/>
        <w:ind w:left="426" w:hanging="142"/>
        <w:jc w:val="center"/>
        <w:rPr>
          <w:rFonts w:eastAsia="Calibri"/>
          <w:b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 xml:space="preserve">индикативных показателей оценки результативности</w:t>
        <w:br w:type="textWrapping" w:clear="all"/>
        <w:t xml:space="preserve">и эффективности</w:t>
      </w:r>
      <w:r>
        <w:rPr>
          <w:rFonts w:ascii="Calibri" w:hAnsi="Calibri" w:eastAsia="Calibri"/>
          <w:color w:val="00000a"/>
          <w:sz w:val="28"/>
          <w:szCs w:val="28"/>
        </w:rPr>
        <w:t xml:space="preserve"> </w:t>
      </w:r>
      <w:r>
        <w:rPr>
          <w:rFonts w:eastAsia="Calibri"/>
          <w:b/>
          <w:color w:val="00000a"/>
          <w:sz w:val="28"/>
          <w:szCs w:val="28"/>
        </w:rPr>
        <w:t xml:space="preserve">контрольной деятельности </w:t>
      </w:r>
      <w:r/>
    </w:p>
    <w:p>
      <w:pPr>
        <w:pStyle w:val="601"/>
        <w:ind w:left="426" w:hanging="142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администрации Борисовского муниципального округа</w:t>
      </w:r>
      <w:r/>
    </w:p>
    <w:p>
      <w:pPr>
        <w:pStyle w:val="601"/>
        <w:ind w:left="426" w:hanging="142"/>
        <w:jc w:val="center"/>
        <w:rPr>
          <w:rFonts w:eastAsia="Calibri"/>
          <w:color w:val="00000a"/>
          <w:szCs w:val="28"/>
        </w:rPr>
      </w:pPr>
      <w:r>
        <w:rPr>
          <w:rFonts w:eastAsia="Calibri"/>
          <w:color w:val="00000a"/>
          <w:szCs w:val="28"/>
        </w:rPr>
      </w:r>
      <w:r/>
    </w:p>
    <w:tbl>
      <w:tblPr>
        <w:tblW w:w="9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4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638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№</w:t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Наименование показателя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0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Наименование органа контроля:  </w:t>
            </w:r>
            <w:r/>
          </w:p>
          <w:p>
            <w:pPr>
              <w:pStyle w:val="601"/>
              <w:contextualSpacing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Администрация Борисовского муниципального округа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0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360"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Наименование вида контрольной деятельности:                                         </w:t>
            </w:r>
            <w:r/>
          </w:p>
          <w:p>
            <w:pPr>
              <w:pStyle w:val="601"/>
              <w:contextualSpacing/>
              <w:ind w:left="360"/>
              <w:jc w:val="center"/>
              <w:rPr>
                <w:rFonts w:eastAsia="Calibri"/>
                <w:b/>
                <w:color w:val="00000a"/>
              </w:rPr>
            </w:pPr>
            <w:r>
              <w:rPr>
                <w:rFonts w:eastAsia="Calibri"/>
                <w:b/>
                <w:color w:val="00000a"/>
              </w:rPr>
              <w:t xml:space="preserve">Муниципальный жилищный контроль</w:t>
            </w:r>
            <w:r/>
          </w:p>
        </w:tc>
      </w:tr>
      <w:tr>
        <w:trPr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  <w:p>
            <w:pPr>
              <w:pStyle w:val="601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внеплановых контрольных мероприятий, проведенных</w:t>
              <w:br w:type="textWrapping" w:clear="all"/>
              <w:t xml:space="preserve">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</w:t>
            </w:r>
            <w:r>
              <w:rPr>
                <w:rFonts w:eastAsia="Calibri"/>
                <w:color w:val="00000a"/>
              </w:rPr>
              <w:t xml:space="preserve">тво внеплановых контрольных мероприятий, проведенных</w:t>
              <w:br/>
      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за отчетный период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Общее количество контрольных мероприятий с взаимодействием, проведенных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контрольных мероприятий с взаимодействием</w:t>
              <w:br w:type="textWrapping" w:clear="all"/>
              <w:t xml:space="preserve">по каждому виду КНМ, проведенных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контрольных мероприятий, проведенных</w:t>
              <w:br w:type="textWrapping" w:clear="all"/>
              <w:t xml:space="preserve">с использованием средств дистанционного взаимодействия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обязательных профилактических визитов, проведенных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предостережений о недопустимости нарушения обязательных требований, объявленных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контрольных мероприятий, по результатам которых выявлены нарушения обязательных требований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контрольных мероприятий, по итогам которых возбуждены дела об административных правонарушениях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Сумма административных штрафов, наложенных по результатам контрольных (надзорных) мероприятий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направленных в органы прокуратуры заявлений о согласовании проведения контрольных мероприятий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tabs>
                <w:tab w:val="left" w:pos="329" w:leader="none"/>
              </w:tabs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737" w:hanging="55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Общее количество учтенных объектов контроля на конец отчетного периода</w:t>
            </w:r>
            <w:r/>
          </w:p>
        </w:tc>
      </w:tr>
      <w:tr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учтенных объектов контроля, отнесенных к категориям риска,</w:t>
              <w:br w:type="textWrapping" w:clear="all"/>
              <w:t xml:space="preserve">по каждой из категорий риска на конец отчетного периода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учтенных контролируемых лиц на конец отчетного периода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учтенных контролируемых лиц, в отношении которых проведены контрольные мероприятия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Общее количество жалоб, поданных контролируемыми лицами в досудебном порядке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жалоб, в отношении которых контрольным органом был нарушен срок рассмотрения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right="-108" w:hanging="624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жалоб, поданных контролируемыми лицами в досудебн</w:t>
            </w:r>
            <w:r>
              <w:rPr>
                <w:rFonts w:eastAsia="Calibri"/>
                <w:color w:val="00000a"/>
              </w:rPr>
              <w:t xml:space="preserve">ом порядке,</w:t>
              <w:br/>
              <w:t xml:space="preserve">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hanging="437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hanging="437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</w:t>
            </w:r>
            <w:r/>
          </w:p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об удовлетворении заявленных требований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1"/>
              <w:contextualSpacing/>
              <w:ind w:left="624" w:hanging="437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8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 xml:space="preserve">Количество контрольных мероприятий, проведенных с грубым нарушением требований к организации и осуществлению государственного контроля , результаты которых были признаны недействительными</w:t>
              <w:br w:type="textWrapping" w:clear="all"/>
              <w:t xml:space="preserve">и (или) отменены за отчетный период</w:t>
            </w:r>
            <w:r/>
          </w:p>
        </w:tc>
      </w:tr>
    </w:tbl>
    <w:p>
      <w:pPr>
        <w:pStyle w:val="601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</w:r>
      <w:r/>
    </w:p>
    <w:p>
      <w:pPr>
        <w:pStyle w:val="601"/>
        <w:jc w:val="both"/>
        <w:rPr>
          <w:szCs w:val="28"/>
        </w:rPr>
      </w:pPr>
      <w:r>
        <w:rPr>
          <w:szCs w:val="28"/>
        </w:rPr>
      </w:r>
      <w:r/>
    </w:p>
    <w:p>
      <w:pPr>
        <w:pStyle w:val="601"/>
        <w:jc w:val="both"/>
        <w:rPr>
          <w:szCs w:val="28"/>
        </w:rPr>
      </w:pPr>
      <w:r>
        <w:rPr>
          <w:szCs w:val="28"/>
        </w:rPr>
      </w:r>
      <w:r/>
    </w:p>
    <w:p>
      <w:pPr>
        <w:pStyle w:val="601"/>
        <w:jc w:val="center"/>
        <w:rPr>
          <w:szCs w:val="28"/>
        </w:rPr>
      </w:pPr>
      <w:r>
        <w:rPr>
          <w:szCs w:val="28"/>
        </w:rPr>
        <w:t xml:space="preserve">____________________________________</w:t>
      </w:r>
      <w:r/>
    </w:p>
    <w:sectPr>
      <w:footnotePr/>
      <w:endnotePr/>
      <w:type w:val="nextPage"/>
      <w:pgSz w:w="11906" w:h="16838" w:orient="portrait"/>
      <w:pgMar w:top="1134" w:right="851" w:bottom="1135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1"/>
    <w:next w:val="6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1"/>
    <w:next w:val="6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1"/>
    <w:next w:val="6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qFormat/>
    <w:rPr>
      <w:sz w:val="24"/>
      <w:szCs w:val="24"/>
      <w:lang w:val="ru-RU" w:eastAsia="ru-RU" w:bidi="ar-SA"/>
    </w:rPr>
  </w:style>
  <w:style w:type="paragraph" w:styleId="602">
    <w:name w:val="Заголовок 1"/>
    <w:basedOn w:val="601"/>
    <w:next w:val="601"/>
    <w:link w:val="601"/>
    <w:qFormat/>
    <w:pPr>
      <w:keepNext/>
      <w:outlineLvl w:val="0"/>
    </w:pPr>
    <w:rPr>
      <w:rFonts w:cs="Arial"/>
      <w:bCs/>
      <w:sz w:val="32"/>
      <w:szCs w:val="32"/>
    </w:rPr>
  </w:style>
  <w:style w:type="paragraph" w:styleId="603">
    <w:name w:val="Заголовок 2"/>
    <w:basedOn w:val="601"/>
    <w:next w:val="601"/>
    <w:link w:val="601"/>
    <w:qFormat/>
    <w:pPr>
      <w:jc w:val="center"/>
      <w:keepNext/>
      <w:outlineLvl w:val="1"/>
    </w:pPr>
    <w:rPr>
      <w:rFonts w:cs="Arial"/>
      <w:b/>
      <w:sz w:val="28"/>
      <w:szCs w:val="32"/>
    </w:rPr>
  </w:style>
  <w:style w:type="paragraph" w:styleId="604">
    <w:name w:val="Заголовок 3"/>
    <w:basedOn w:val="601"/>
    <w:next w:val="601"/>
    <w:link w:val="61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character" w:styleId="605">
    <w:name w:val="Основной шрифт абзаца"/>
    <w:next w:val="605"/>
    <w:link w:val="601"/>
    <w:semiHidden/>
  </w:style>
  <w:style w:type="table" w:styleId="606">
    <w:name w:val="Обычная таблица"/>
    <w:next w:val="606"/>
    <w:link w:val="601"/>
    <w:semiHidden/>
    <w:tblPr/>
  </w:style>
  <w:style w:type="numbering" w:styleId="607">
    <w:name w:val="Нет списка"/>
    <w:next w:val="607"/>
    <w:link w:val="601"/>
    <w:semiHidden/>
  </w:style>
  <w:style w:type="paragraph" w:styleId="608">
    <w:name w:val="Текст выноски"/>
    <w:basedOn w:val="601"/>
    <w:next w:val="608"/>
    <w:link w:val="601"/>
    <w:semiHidden/>
    <w:rPr>
      <w:rFonts w:ascii="Tahoma" w:hAnsi="Tahoma" w:cs="Tahoma"/>
      <w:sz w:val="16"/>
      <w:szCs w:val="16"/>
    </w:rPr>
  </w:style>
  <w:style w:type="paragraph" w:styleId="609">
    <w:name w:val="Название"/>
    <w:basedOn w:val="601"/>
    <w:next w:val="609"/>
    <w:link w:val="601"/>
    <w:qFormat/>
    <w:pPr>
      <w:jc w:val="center"/>
    </w:pPr>
    <w:rPr>
      <w:rFonts w:cs="Arial"/>
      <w:b/>
      <w:sz w:val="20"/>
      <w:szCs w:val="32"/>
    </w:rPr>
  </w:style>
  <w:style w:type="paragraph" w:styleId="610">
    <w:name w:val="ConsPlusNormal"/>
    <w:next w:val="610"/>
    <w:link w:val="601"/>
    <w:pPr>
      <w:ind w:firstLine="720"/>
    </w:pPr>
    <w:rPr>
      <w:rFonts w:ascii="Arial" w:hAnsi="Arial" w:cs="Arial"/>
      <w:lang w:val="ru-RU" w:eastAsia="ru-RU" w:bidi="ar-SA"/>
    </w:rPr>
  </w:style>
  <w:style w:type="paragraph" w:styleId="611">
    <w:name w:val="ConsPlusTitle"/>
    <w:next w:val="611"/>
    <w:link w:val="601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12">
    <w:name w:val="Обычный (веб)"/>
    <w:basedOn w:val="601"/>
    <w:next w:val="612"/>
    <w:link w:val="601"/>
    <w:pPr>
      <w:spacing w:before="100" w:beforeAutospacing="1" w:after="100" w:afterAutospacing="1"/>
    </w:pPr>
  </w:style>
  <w:style w:type="paragraph" w:styleId="613">
    <w:name w:val="Знак"/>
    <w:basedOn w:val="601"/>
    <w:next w:val="613"/>
    <w:link w:val="60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614">
    <w:name w:val=" Знак"/>
    <w:basedOn w:val="601"/>
    <w:next w:val="614"/>
    <w:link w:val="601"/>
    <w:pPr>
      <w:spacing w:after="160" w:line="240" w:lineRule="exact"/>
    </w:pPr>
    <w:rPr>
      <w:rFonts w:ascii="Verdana" w:hAnsi="Verdana"/>
      <w:lang w:val="en-US" w:eastAsia="en-US"/>
    </w:rPr>
  </w:style>
  <w:style w:type="paragraph" w:styleId="615">
    <w:name w:val="Верхний колонтитул"/>
    <w:basedOn w:val="601"/>
    <w:next w:val="615"/>
    <w:link w:val="61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16">
    <w:name w:val="Верхний колонтитул Знак"/>
    <w:next w:val="616"/>
    <w:link w:val="615"/>
    <w:rPr>
      <w:sz w:val="24"/>
      <w:szCs w:val="24"/>
    </w:rPr>
  </w:style>
  <w:style w:type="paragraph" w:styleId="617">
    <w:name w:val="Нижний колонтитул"/>
    <w:basedOn w:val="601"/>
    <w:next w:val="617"/>
    <w:link w:val="61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18">
    <w:name w:val="Нижний колонтитул Знак"/>
    <w:next w:val="618"/>
    <w:link w:val="617"/>
    <w:rPr>
      <w:sz w:val="24"/>
      <w:szCs w:val="24"/>
    </w:rPr>
  </w:style>
  <w:style w:type="character" w:styleId="619">
    <w:name w:val="Заголовок 3 Знак"/>
    <w:next w:val="619"/>
    <w:link w:val="604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20">
    <w:name w:val="Выделение"/>
    <w:next w:val="620"/>
    <w:link w:val="601"/>
    <w:uiPriority w:val="20"/>
    <w:qFormat/>
    <w:rPr>
      <w:i/>
      <w:iCs/>
    </w:rPr>
  </w:style>
  <w:style w:type="table" w:styleId="621">
    <w:name w:val="Сетка таблицы"/>
    <w:basedOn w:val="606"/>
    <w:next w:val="621"/>
    <w:link w:val="601"/>
    <w:uiPriority w:val="59"/>
    <w:tblPr/>
  </w:style>
  <w:style w:type="paragraph" w:styleId="622">
    <w:name w:val="Без интервала"/>
    <w:next w:val="622"/>
    <w:link w:val="601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623">
    <w:name w:val="formattext"/>
    <w:basedOn w:val="601"/>
    <w:next w:val="623"/>
    <w:link w:val="601"/>
    <w:pPr>
      <w:spacing w:before="100" w:beforeAutospacing="1" w:after="100" w:afterAutospacing="1"/>
    </w:pPr>
  </w:style>
  <w:style w:type="character" w:styleId="624">
    <w:name w:val="Гиперссылка"/>
    <w:next w:val="624"/>
    <w:link w:val="601"/>
    <w:uiPriority w:val="99"/>
    <w:unhideWhenUsed/>
    <w:rPr>
      <w:color w:val="0000ff"/>
      <w:u w:val="single"/>
    </w:rPr>
  </w:style>
  <w:style w:type="paragraph" w:styleId="625">
    <w:name w:val="headertext"/>
    <w:basedOn w:val="601"/>
    <w:next w:val="625"/>
    <w:link w:val="601"/>
    <w:pPr>
      <w:spacing w:before="100" w:beforeAutospacing="1" w:after="100" w:afterAutospacing="1"/>
    </w:pPr>
  </w:style>
  <w:style w:type="table" w:styleId="626">
    <w:name w:val="Сетка таблицы1"/>
    <w:basedOn w:val="606"/>
    <w:next w:val="626"/>
    <w:link w:val="601"/>
    <w:rPr>
      <w:rFonts w:ascii="Calibri" w:hAnsi="Calibri" w:eastAsia="Calibri" w:cs="Times New Roman"/>
      <w:szCs w:val="22"/>
      <w:lang w:eastAsia="en-US"/>
    </w:rPr>
    <w:tblPr/>
  </w:style>
  <w:style w:type="character" w:styleId="3287" w:default="1">
    <w:name w:val="Default Paragraph Font"/>
    <w:uiPriority w:val="1"/>
    <w:semiHidden/>
    <w:unhideWhenUsed/>
  </w:style>
  <w:style w:type="numbering" w:styleId="3288" w:default="1">
    <w:name w:val="No List"/>
    <w:uiPriority w:val="99"/>
    <w:semiHidden/>
    <w:unhideWhenUsed/>
  </w:style>
  <w:style w:type="table" w:styleId="32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администрация района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econom1</dc:creator>
  <cp:revision>23</cp:revision>
  <dcterms:created xsi:type="dcterms:W3CDTF">2026-04-15T07:41:00Z</dcterms:created>
  <dcterms:modified xsi:type="dcterms:W3CDTF">2026-05-22T11:17:18Z</dcterms:modified>
  <cp:version>917504</cp:version>
</cp:coreProperties>
</file>