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0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66"/>
        <w:rPr>
          <w:sz w:val="28"/>
          <w:szCs w:val="28"/>
        </w:rPr>
      </w:pPr>
      <w:r>
        <w:rPr>
          <w:sz w:val="28"/>
          <w:szCs w:val="28"/>
        </w:rPr>
        <w:t xml:space="preserve">Р О С С И Й С К А Я    Ф Е Д Е Р А Ц И Я</w:t>
      </w:r>
      <w:r/>
    </w:p>
    <w:p>
      <w:pPr>
        <w:pStyle w:val="666"/>
        <w:rPr>
          <w:sz w:val="28"/>
          <w:szCs w:val="28"/>
        </w:rPr>
      </w:pPr>
      <w:r>
        <w:rPr>
          <w:sz w:val="28"/>
          <w:szCs w:val="28"/>
        </w:rPr>
        <w:t xml:space="preserve">Б Е Л Г О Р О Д С К А Я      О Б Л А С Т Ь</w:t>
      </w:r>
      <w:r/>
    </w:p>
    <w:p>
      <w:pPr>
        <w:pStyle w:val="666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9753" cy="86868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69753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6pt;height:68.4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8"/>
          <w:szCs w:val="28"/>
        </w:rPr>
      </w:r>
      <w:r/>
    </w:p>
    <w:p>
      <w:pPr>
        <w:pStyle w:val="660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СОВЕТ  ДЕПУТАТОВ  </w:t>
      </w:r>
      <w:r/>
    </w:p>
    <w:p>
      <w:pPr>
        <w:pStyle w:val="660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БОРИСОВСКОГО  МУНИЦИПАЛЬНОГО ОКРУГА  </w:t>
      </w:r>
      <w:r/>
    </w:p>
    <w:p>
      <w:pPr>
        <w:pStyle w:val="660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БЕЛГОРОДСКОЙ  ОБЛАСТИ </w:t>
      </w:r>
      <w:r/>
    </w:p>
    <w:p>
      <w:pPr>
        <w:pStyle w:val="659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Тринадцатое</w:t>
      </w:r>
      <w:r>
        <w:rPr>
          <w:b/>
          <w:sz w:val="28"/>
          <w:szCs w:val="28"/>
        </w:rPr>
        <w:t xml:space="preserve">  заседание  совета первого созыва</w:t>
      </w:r>
      <w:r/>
    </w:p>
    <w:p>
      <w:pPr>
        <w:pStyle w:val="66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6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Р Е Ш Е Н И Е</w:t>
      </w:r>
      <w:r/>
    </w:p>
    <w:p>
      <w:pPr>
        <w:pStyle w:val="65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«31» июля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года                                                                              №  163</w:t>
      </w:r>
      <w:r/>
      <w:r>
        <w:rPr>
          <w:sz w:val="28"/>
          <w:szCs w:val="28"/>
        </w:rPr>
      </w:r>
      <w:r/>
      <w:r>
        <w:rPr>
          <w:b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65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ind w:right="4478"/>
        <w:jc w:val="left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 xml:space="preserve">Правил определения размера платы за пользование имущества, находящимся в муниципальной собственности Борисовского муниципального округа, для строительства и (или) эксплуатации средств связи и (или) сооружений связи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659"/>
        <w:ind w:right="4315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7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7 июля 2003 года № 126-ФЗ « О связи», постановлением Правительства Российской Федерации от 28 мая 2026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№ 619 « Об утверждении 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строительства и (или) эксплуатации средств связи и (или) сооружений связи и Правил определения размера платы за пользование имуществом, находящимся в федеральной собственности, для строительства и (или) эксплуатации средств связи и (или) сооружений связи»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</w:rPr>
        <w:instrText xml:space="preserve">HYPERLINK "https://login.consultant.ru/link/?req=doc&amp;base=RLAW404&amp;n=96425&amp;dst=100026" \h</w:instrTex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Борисовского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Белгородской области,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7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71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депутатов Борисовского муниципального округа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решил: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71"/>
        <w:numPr>
          <w:ilvl w:val="0"/>
          <w:numId w:val="13"/>
        </w:numPr>
        <w:ind w:left="0" w:firstLine="4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 определения размера платы за пользование имуществом, находящимся в муниципальной собственности Борисовского муниципального округа, для строительства и (или) эксплуатации средств связи и (или) сооружений 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71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вступает в силу с 1 сентября 2026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Данное решение опубликовать в газете «Призыв 31», сетевом издании «Призыв 31» и разместить на официальном сайте органов местного самоуправления Борисовского 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 в сети Интернет.</w:t>
      </w:r>
      <w:r>
        <w:rPr>
          <w:sz w:val="28"/>
          <w:szCs w:val="28"/>
        </w:rPr>
      </w:r>
      <w:r/>
    </w:p>
    <w:p>
      <w:pPr>
        <w:pStyle w:val="659"/>
        <w:ind w:firstLine="567"/>
        <w:jc w:val="both"/>
        <w:tabs>
          <w:tab w:val="left" w:pos="105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Контроль за исполнением данного решения возложить на первого заместителя главы Борисовского муниципального округа – руководителя аппарата администрации муниципального округа И.В. Говорищеву и постоянную комиссию </w:t>
      </w:r>
      <w:r>
        <w:rPr>
          <w:sz w:val="28"/>
          <w:szCs w:val="28"/>
        </w:rPr>
        <w:t xml:space="preserve">Совета депутатов Борисовского муниципального округа по вопросам бюджета, финансов, налоговой политики, муниципальной собственности (Дюмин А.С.).</w:t>
      </w:r>
      <w:r>
        <w:rPr>
          <w:sz w:val="28"/>
          <w:szCs w:val="28"/>
        </w:rPr>
      </w:r>
      <w:r/>
    </w:p>
    <w:p>
      <w:pPr>
        <w:pStyle w:val="659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Совета депутатов </w:t>
      </w:r>
      <w:r/>
    </w:p>
    <w:p>
      <w:pPr>
        <w:pStyle w:val="6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Борисовского муниципального округа  </w:t>
        <w:tab/>
        <w:tab/>
        <w:tab/>
        <w:t xml:space="preserve"> В.В. Гордиенко</w:t>
      </w:r>
      <w:r/>
    </w:p>
    <w:p>
      <w:pPr>
        <w:pStyle w:val="6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65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Борисовского</w:t>
      </w:r>
      <w:r/>
    </w:p>
    <w:p>
      <w:pPr>
        <w:pStyle w:val="65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</w:t>
        <w:tab/>
        <w:tab/>
        <w:tab/>
        <w:tab/>
        <w:tab/>
        <w:tab/>
        <w:t xml:space="preserve">В.И. Переверзев</w:t>
      </w:r>
      <w:r>
        <w:rPr>
          <w:sz w:val="28"/>
          <w:szCs w:val="28"/>
        </w:rPr>
      </w:r>
      <w:r/>
    </w:p>
    <w:p>
      <w:pPr>
        <w:pStyle w:val="65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ind w:firstLine="567"/>
        <w:jc w:val="both"/>
        <w:tabs>
          <w:tab w:val="left" w:pos="1050" w:leader="none"/>
          <w:tab w:val="left" w:pos="4962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ind w:firstLine="4962"/>
        <w:tabs>
          <w:tab w:val="left" w:pos="56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/>
    </w:p>
    <w:p>
      <w:pPr>
        <w:pStyle w:val="659"/>
        <w:ind w:firstLine="4962"/>
        <w:tabs>
          <w:tab w:val="left" w:pos="56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Совета депутатов</w:t>
      </w:r>
      <w:r>
        <w:rPr>
          <w:sz w:val="28"/>
          <w:szCs w:val="28"/>
        </w:rPr>
        <w:t xml:space="preserve"> </w:t>
      </w:r>
      <w:r/>
    </w:p>
    <w:p>
      <w:pPr>
        <w:pStyle w:val="659"/>
        <w:ind w:firstLine="4962"/>
        <w:tabs>
          <w:tab w:val="left" w:pos="56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Борисовского муниципального округа</w:t>
      </w:r>
      <w:r>
        <w:rPr>
          <w:sz w:val="28"/>
          <w:szCs w:val="28"/>
        </w:rPr>
      </w:r>
      <w:r/>
    </w:p>
    <w:p>
      <w:pPr>
        <w:pStyle w:val="659"/>
        <w:ind w:firstLine="4962"/>
        <w:tabs>
          <w:tab w:val="left" w:pos="60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«___» _____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г. № ___</w:t>
      </w:r>
      <w:r/>
    </w:p>
    <w:p>
      <w:pPr>
        <w:pStyle w:val="659"/>
        <w:ind w:firstLine="5103"/>
        <w:tabs>
          <w:tab w:val="left" w:pos="600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contextualSpacing/>
        <w:jc w:val="right"/>
        <w:tabs>
          <w:tab w:val="left" w:pos="3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ПРАВИЛА ОПРЕДЕЛЕНИЯ РАЗМЕРА ПЛАТЫ ЗА ПОЛЬЗОВАНИЕ ИМУЩЕСТВОМ, НАХОДЯЩИМСЯ В МУНИЦИПАЛЬНОЙ СОБСТВЕННОСТИ БОРИСОВСКОГО МУНИЦИПАЛЬНОГО ОКРУГА, ДЛЯ СТРОИТЕЛЬСТВА И (ИЛИ)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ЭКСПЛУАТАЦИИ СРЕДСТВ СВЯЗИ И (ИЛИ)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СООРУЖЕНИЙ СВЯЗИ</w:t>
      </w:r>
      <w:r>
        <w:rPr>
          <w:sz w:val="28"/>
          <w:szCs w:val="28"/>
        </w:rPr>
      </w:r>
      <w:r/>
    </w:p>
    <w:p>
      <w:pPr>
        <w:pStyle w:val="670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1"/>
        <w:contextualSpacing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Настоящие Правила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размера платы за пользование имуществом, находящимся в муниципальной собственности Борисовского муниципального округа, для строительства и (или)эксплуатации средств связи и (или) сооружений связи (далее - Правила) </w:t>
      </w:r>
      <w:r>
        <w:rPr>
          <w:rFonts w:ascii="Times New Roman" w:hAnsi="Times New Roman" w:cs="Times New Roman"/>
          <w:sz w:val="28"/>
          <w:szCs w:val="28"/>
        </w:rPr>
        <w:t xml:space="preserve">устанавливают порядок определения размера платы за пользование недвижимым имуществом, указанным 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"https://login.consultant.ru/link/?req=doc&amp;base=LAW&amp;n=523184&amp;dst=100074" \h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пункте 3 статьи 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«О связи»</w:t>
      </w:r>
      <w:r>
        <w:rPr>
          <w:rFonts w:ascii="Times New Roman" w:hAnsi="Times New Roman" w:cs="Times New Roman"/>
          <w:sz w:val="28"/>
          <w:szCs w:val="28"/>
        </w:rPr>
        <w:t xml:space="preserve">, находящимся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Борисовского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для строительства и (или) эксплуатации средств связи и (или) сооружений связи (далее - имущество).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Настоящие Правила применяются, если иное не предусмотрено федеральными законами.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Плата за пользование имуществом организацией связи, индивидуальным предпринимателем, осуществляющим деятельность в области связи в качестве основног</w:t>
      </w:r>
      <w:r>
        <w:rPr>
          <w:rFonts w:ascii="Times New Roman" w:hAnsi="Times New Roman" w:cs="Times New Roman"/>
          <w:sz w:val="28"/>
          <w:szCs w:val="28"/>
        </w:rPr>
        <w:t xml:space="preserve">о вида деятельности, или юридическим лицом, осуществляющим деятельность по строительству и (или) эксплуатации сооружений связи для размещения сетей связи оператором связи (далее - хозяйствующий субъект), устанавливается для каждого имущества индивидуально.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Размер платы за пользование имуществом (РП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КС</w:t>
      </w:r>
      <w:r>
        <w:rPr>
          <w:rFonts w:ascii="Times New Roman" w:hAnsi="Times New Roman" w:cs="Times New Roman"/>
          <w:sz w:val="28"/>
          <w:szCs w:val="28"/>
        </w:rPr>
        <w:t xml:space="preserve">) в месяц (рублей) определяется по формуле:</w:t>
      </w:r>
      <w:r/>
    </w:p>
    <w:p>
      <w:pPr>
        <w:pStyle w:val="671"/>
        <w:contextualSpacing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35480" cy="286664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935480" cy="286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52.4pt;height:22.6pt;mso-wrap-distance-left:0.0pt;mso-wrap-distance-top:0.0pt;mso-wrap-distance-right:0.0pt;mso-wrap-distance-bottom:0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1"/>
        <w:contextualSpacing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1"/>
        <w:contextualSpacing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ИМ</w:t>
      </w:r>
      <w:r>
        <w:rPr>
          <w:rFonts w:ascii="Times New Roman" w:hAnsi="Times New Roman" w:cs="Times New Roman"/>
          <w:sz w:val="28"/>
          <w:szCs w:val="28"/>
        </w:rPr>
        <w:t xml:space="preserve"> - ставка платы за 1 кв. метр имущества в год, определенная по результатам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"https://login.consultant.ru/link/?req=doc&amp;base=LAW&amp;n=511679" \h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оценочной деятельности в Российской Федерац</w:t>
      </w:r>
      <w:r>
        <w:rPr>
          <w:rFonts w:ascii="Times New Roman" w:hAnsi="Times New Roman" w:cs="Times New Roman"/>
          <w:sz w:val="28"/>
          <w:szCs w:val="28"/>
        </w:rPr>
        <w:t xml:space="preserve">ии»</w:t>
      </w:r>
      <w:r>
        <w:rPr>
          <w:rFonts w:ascii="Times New Roman" w:hAnsi="Times New Roman" w:cs="Times New Roman"/>
          <w:sz w:val="28"/>
          <w:szCs w:val="28"/>
        </w:rPr>
        <w:t xml:space="preserve"> (рублей);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ДР</w:t>
      </w:r>
      <w:r>
        <w:rPr>
          <w:rFonts w:ascii="Times New Roman" w:hAnsi="Times New Roman" w:cs="Times New Roman"/>
          <w:sz w:val="28"/>
          <w:szCs w:val="28"/>
        </w:rPr>
        <w:t xml:space="preserve"> - площадь имущества (его части), предоставляемого хозяйствующему</w:t>
      </w:r>
      <w:r>
        <w:rPr>
          <w:rFonts w:ascii="Times New Roman" w:hAnsi="Times New Roman" w:cs="Times New Roman"/>
          <w:sz w:val="28"/>
          <w:szCs w:val="28"/>
        </w:rPr>
        <w:t xml:space="preserve"> субъекту по договору о пользовании имуществом, заключенному с собственником или иным владельцем имущества (кв. метров).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состав платы за пользование имуществом не подлежат включению расходы, учтенные в составе цены (тарифа) на предоставление иных услуг, связанных с использованием того же имущества (его части).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собственника или иного </w:t>
      </w:r>
      <w:r>
        <w:rPr>
          <w:rFonts w:ascii="Times New Roman" w:hAnsi="Times New Roman" w:cs="Times New Roman"/>
          <w:sz w:val="28"/>
          <w:szCs w:val="28"/>
        </w:rPr>
        <w:t xml:space="preserve">владельца имущества при проведении работ по капитальному ремонту, модернизации, реконструкции и переустройству имущества, предоставленного хозяйствующему субъекту по договору о пользовании имуществом, не включаются в состав платы за пользование имуществом.</w:t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Размер платы за пользов</w:t>
      </w:r>
      <w:r>
        <w:rPr>
          <w:rFonts w:ascii="Times New Roman" w:hAnsi="Times New Roman" w:cs="Times New Roman"/>
          <w:sz w:val="28"/>
          <w:szCs w:val="28"/>
        </w:rPr>
        <w:t xml:space="preserve">ание имуществом может быть изменен не ранее чем через один год после заключения договора о пользовании имуществом и не чаще одного раза в год, если иное не предусмотрено законодательством Российской Федерации. При этом изменение размера платы за пользовани</w:t>
      </w:r>
      <w:r>
        <w:rPr>
          <w:rFonts w:ascii="Times New Roman" w:hAnsi="Times New Roman" w:cs="Times New Roman"/>
          <w:sz w:val="28"/>
          <w:szCs w:val="28"/>
        </w:rPr>
        <w:t xml:space="preserve">е имуществом не может превышать индекс потребительских цен (в среднем за год к предыдущему году), определяемый в соответствии с базовым вариантом прогноза социально-экономического развития Российской Федерации на очередной финансовый год и плановый период.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1"/>
        <w:contextualSpacing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1"/>
        <w:contextualSpacing/>
        <w:ind w:firstLine="540"/>
        <w:jc w:val="center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</w:t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567" w:right="624" w:bottom="79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  <w:rPr>
        <w:rStyle w:val="669"/>
      </w:rPr>
      <w:framePr w:wrap="around" w:vAnchor="text" w:hAnchor="margin" w:xAlign="center" w:y="1"/>
    </w:pPr>
    <w:r>
      <w:rPr>
        <w:rStyle w:val="669"/>
      </w:rPr>
      <w:fldChar w:fldCharType="begin"/>
    </w:r>
    <w:r>
      <w:rPr>
        <w:rStyle w:val="669"/>
      </w:rPr>
      <w:instrText xml:space="preserve">PAGE  </w:instrText>
    </w:r>
    <w:r>
      <w:rPr>
        <w:rStyle w:val="669"/>
      </w:rPr>
      <w:fldChar w:fldCharType="separate"/>
    </w:r>
    <w:r>
      <w:rPr>
        <w:rStyle w:val="669"/>
      </w:rPr>
      <w:t xml:space="preserve">2</w:t>
    </w:r>
    <w:r>
      <w:rPr>
        <w:rStyle w:val="669"/>
      </w:rPr>
      <w:fldChar w:fldCharType="end"/>
    </w:r>
    <w:r>
      <w:rPr>
        <w:rStyle w:val="669"/>
      </w:rPr>
    </w:r>
    <w:r/>
  </w:p>
  <w:p>
    <w:pPr>
      <w:pStyle w:val="66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  <w:rPr>
        <w:rStyle w:val="669"/>
      </w:rPr>
      <w:framePr w:wrap="around" w:vAnchor="text" w:hAnchor="margin" w:xAlign="center" w:y="1"/>
    </w:pPr>
    <w:r>
      <w:rPr>
        <w:rStyle w:val="669"/>
      </w:rPr>
      <w:fldChar w:fldCharType="begin"/>
    </w:r>
    <w:r>
      <w:rPr>
        <w:rStyle w:val="669"/>
      </w:rPr>
      <w:instrText xml:space="preserve">PAGE  </w:instrText>
    </w:r>
    <w:r>
      <w:rPr>
        <w:rStyle w:val="669"/>
      </w:rPr>
      <w:fldChar w:fldCharType="end"/>
    </w:r>
    <w:r>
      <w:rPr>
        <w:rStyle w:val="669"/>
      </w:rPr>
    </w:r>
    <w:r/>
  </w:p>
  <w:p>
    <w:pPr>
      <w:pStyle w:val="6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855" w:hanging="360"/>
        <w:tabs>
          <w:tab w:val="num" w:pos="85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575" w:hanging="360"/>
        <w:tabs>
          <w:tab w:val="num" w:pos="157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295" w:hanging="180"/>
        <w:tabs>
          <w:tab w:val="num" w:pos="229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3015" w:hanging="360"/>
        <w:tabs>
          <w:tab w:val="num" w:pos="301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735" w:hanging="360"/>
        <w:tabs>
          <w:tab w:val="num" w:pos="373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455" w:hanging="180"/>
        <w:tabs>
          <w:tab w:val="num" w:pos="445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175" w:hanging="360"/>
        <w:tabs>
          <w:tab w:val="num" w:pos="517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895" w:hanging="360"/>
        <w:tabs>
          <w:tab w:val="num" w:pos="589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615" w:hanging="180"/>
        <w:tabs>
          <w:tab w:val="num" w:pos="6615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786" w:hanging="360"/>
        <w:tabs>
          <w:tab w:val="num" w:pos="78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397" w:hanging="397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3"/>
      <w:numFmt w:val="decimal"/>
      <w:isLgl w:val="false"/>
      <w:suff w:val="tab"/>
      <w:lvlText w:val="%1"/>
      <w:lvlJc w:val="center"/>
      <w:pPr>
        <w:pStyle w:val="659"/>
        <w:ind w:left="720" w:hanging="432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0" w:firstLine="0"/>
        <w:tabs>
          <w:tab w:val="num" w:pos="1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900" w:hanging="360"/>
        <w:tabs>
          <w:tab w:val="num" w:pos="9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1620" w:hanging="180"/>
        <w:tabs>
          <w:tab w:val="num" w:pos="16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340" w:hanging="360"/>
        <w:tabs>
          <w:tab w:val="num" w:pos="23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060" w:hanging="360"/>
        <w:tabs>
          <w:tab w:val="num" w:pos="30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3780" w:hanging="180"/>
        <w:tabs>
          <w:tab w:val="num" w:pos="37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4500" w:hanging="360"/>
        <w:tabs>
          <w:tab w:val="num" w:pos="45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220" w:hanging="360"/>
        <w:tabs>
          <w:tab w:val="num" w:pos="52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5940" w:hanging="180"/>
        <w:tabs>
          <w:tab w:val="num" w:pos="594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397" w:hanging="397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0" w:firstLine="0"/>
        <w:tabs>
          <w:tab w:val="num" w:pos="1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900" w:hanging="360"/>
        <w:tabs>
          <w:tab w:val="num" w:pos="9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1620" w:hanging="180"/>
        <w:tabs>
          <w:tab w:val="num" w:pos="16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340" w:hanging="360"/>
        <w:tabs>
          <w:tab w:val="num" w:pos="23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060" w:hanging="360"/>
        <w:tabs>
          <w:tab w:val="num" w:pos="30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3780" w:hanging="180"/>
        <w:tabs>
          <w:tab w:val="num" w:pos="37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4500" w:hanging="360"/>
        <w:tabs>
          <w:tab w:val="num" w:pos="45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220" w:hanging="360"/>
        <w:tabs>
          <w:tab w:val="num" w:pos="52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5940" w:hanging="180"/>
        <w:tabs>
          <w:tab w:val="num" w:pos="59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960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pStyle w:val="659"/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9"/>
        <w:ind w:left="180" w:hanging="360"/>
        <w:tabs>
          <w:tab w:val="num" w:pos="1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9"/>
        <w:ind w:left="900" w:hanging="360"/>
        <w:tabs>
          <w:tab w:val="num" w:pos="9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9"/>
        <w:ind w:left="1620" w:hanging="180"/>
        <w:tabs>
          <w:tab w:val="num" w:pos="16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9"/>
        <w:ind w:left="2340" w:hanging="360"/>
        <w:tabs>
          <w:tab w:val="num" w:pos="23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9"/>
        <w:ind w:left="3060" w:hanging="360"/>
        <w:tabs>
          <w:tab w:val="num" w:pos="30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9"/>
        <w:ind w:left="3780" w:hanging="180"/>
        <w:tabs>
          <w:tab w:val="num" w:pos="37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9"/>
        <w:ind w:left="4500" w:hanging="360"/>
        <w:tabs>
          <w:tab w:val="num" w:pos="45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9"/>
        <w:ind w:left="5220" w:hanging="360"/>
        <w:tabs>
          <w:tab w:val="num" w:pos="52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9"/>
        <w:ind w:left="5940" w:hanging="180"/>
        <w:tabs>
          <w:tab w:val="num" w:pos="5940" w:leader="none"/>
        </w:tabs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3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9"/>
    <w:next w:val="659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9"/>
    <w:next w:val="65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9"/>
    <w:next w:val="659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9"/>
    <w:next w:val="65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9"/>
    <w:next w:val="659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9"/>
    <w:next w:val="65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9"/>
    <w:next w:val="65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9"/>
    <w:next w:val="65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9"/>
    <w:next w:val="65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9"/>
    <w:next w:val="65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59"/>
    <w:next w:val="659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59"/>
    <w:next w:val="65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9"/>
    <w:next w:val="65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5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59"/>
    <w:next w:val="6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5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next w:val="659"/>
    <w:link w:val="659"/>
    <w:qFormat/>
    <w:rPr>
      <w:sz w:val="24"/>
      <w:szCs w:val="24"/>
      <w:lang w:val="ru-RU" w:eastAsia="ru-RU" w:bidi="ar-SA"/>
    </w:rPr>
  </w:style>
  <w:style w:type="paragraph" w:styleId="660">
    <w:name w:val="Заголовок 1"/>
    <w:basedOn w:val="659"/>
    <w:next w:val="659"/>
    <w:link w:val="659"/>
    <w:qFormat/>
    <w:pPr>
      <w:keepNext/>
      <w:outlineLvl w:val="0"/>
    </w:pPr>
    <w:rPr>
      <w:rFonts w:cs="Arial"/>
      <w:bCs/>
      <w:sz w:val="32"/>
      <w:szCs w:val="32"/>
    </w:rPr>
  </w:style>
  <w:style w:type="paragraph" w:styleId="661">
    <w:name w:val="Заголовок 2"/>
    <w:basedOn w:val="659"/>
    <w:next w:val="659"/>
    <w:link w:val="659"/>
    <w:qFormat/>
    <w:pPr>
      <w:jc w:val="center"/>
      <w:keepNext/>
      <w:outlineLvl w:val="1"/>
    </w:pPr>
    <w:rPr>
      <w:rFonts w:cs="Arial"/>
      <w:b/>
      <w:sz w:val="28"/>
      <w:szCs w:val="32"/>
    </w:rPr>
  </w:style>
  <w:style w:type="character" w:styleId="662">
    <w:name w:val="Основной шрифт абзаца"/>
    <w:next w:val="662"/>
    <w:link w:val="659"/>
    <w:semiHidden/>
  </w:style>
  <w:style w:type="table" w:styleId="663">
    <w:name w:val="Обычная таблица"/>
    <w:next w:val="663"/>
    <w:link w:val="659"/>
    <w:semiHidden/>
    <w:tblPr/>
  </w:style>
  <w:style w:type="numbering" w:styleId="664">
    <w:name w:val="Нет списка"/>
    <w:next w:val="664"/>
    <w:link w:val="659"/>
    <w:semiHidden/>
  </w:style>
  <w:style w:type="paragraph" w:styleId="665">
    <w:name w:val="Текст выноски"/>
    <w:basedOn w:val="659"/>
    <w:next w:val="665"/>
    <w:link w:val="659"/>
    <w:semiHidden/>
    <w:rPr>
      <w:rFonts w:ascii="Tahoma" w:hAnsi="Tahoma" w:cs="Tahoma"/>
      <w:sz w:val="16"/>
      <w:szCs w:val="16"/>
    </w:rPr>
  </w:style>
  <w:style w:type="paragraph" w:styleId="666">
    <w:name w:val="Название"/>
    <w:basedOn w:val="659"/>
    <w:next w:val="666"/>
    <w:link w:val="674"/>
    <w:qFormat/>
    <w:pPr>
      <w:jc w:val="center"/>
    </w:pPr>
    <w:rPr>
      <w:b/>
      <w:sz w:val="20"/>
      <w:szCs w:val="32"/>
      <w:lang w:val="en-US" w:eastAsia="en-US"/>
    </w:rPr>
  </w:style>
  <w:style w:type="table" w:styleId="667">
    <w:name w:val="Сетка таблицы"/>
    <w:basedOn w:val="663"/>
    <w:next w:val="667"/>
    <w:link w:val="659"/>
    <w:tblPr/>
  </w:style>
  <w:style w:type="paragraph" w:styleId="668">
    <w:name w:val="Верхний колонтитул"/>
    <w:basedOn w:val="659"/>
    <w:next w:val="668"/>
    <w:link w:val="659"/>
    <w:pPr>
      <w:tabs>
        <w:tab w:val="center" w:pos="4677" w:leader="none"/>
        <w:tab w:val="right" w:pos="9355" w:leader="none"/>
      </w:tabs>
    </w:pPr>
  </w:style>
  <w:style w:type="character" w:styleId="669">
    <w:name w:val="Номер страницы"/>
    <w:basedOn w:val="662"/>
    <w:next w:val="669"/>
    <w:link w:val="659"/>
  </w:style>
  <w:style w:type="paragraph" w:styleId="670">
    <w:name w:val="ConsPlusTitle"/>
    <w:next w:val="670"/>
    <w:link w:val="659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671">
    <w:name w:val="ConsPlusNormal"/>
    <w:next w:val="671"/>
    <w:link w:val="675"/>
    <w:pPr>
      <w:widowControl w:val="off"/>
    </w:pPr>
    <w:rPr>
      <w:rFonts w:ascii="Arial" w:hAnsi="Arial" w:cs="Arial"/>
      <w:lang w:val="ru-RU" w:eastAsia="ru-RU" w:bidi="ar-SA"/>
    </w:rPr>
  </w:style>
  <w:style w:type="paragraph" w:styleId="672">
    <w:name w:val="Обычный (веб)"/>
    <w:basedOn w:val="659"/>
    <w:next w:val="672"/>
    <w:link w:val="659"/>
    <w:pPr>
      <w:spacing w:before="100" w:beforeAutospacing="1" w:after="100" w:afterAutospacing="1"/>
    </w:pPr>
  </w:style>
  <w:style w:type="paragraph" w:styleId="673">
    <w:name w:val=" Знак"/>
    <w:basedOn w:val="659"/>
    <w:next w:val="673"/>
    <w:link w:val="659"/>
    <w:pPr>
      <w:spacing w:after="160" w:line="240" w:lineRule="exact"/>
    </w:pPr>
    <w:rPr>
      <w:rFonts w:ascii="Verdana" w:hAnsi="Verdana"/>
      <w:lang w:val="en-US" w:eastAsia="en-US"/>
    </w:rPr>
  </w:style>
  <w:style w:type="character" w:styleId="674">
    <w:name w:val="Название Знак"/>
    <w:next w:val="674"/>
    <w:link w:val="666"/>
    <w:rPr>
      <w:rFonts w:cs="Arial"/>
      <w:b/>
      <w:szCs w:val="32"/>
    </w:rPr>
  </w:style>
  <w:style w:type="character" w:styleId="675">
    <w:name w:val="ConsPlusNormal Знак"/>
    <w:next w:val="675"/>
    <w:link w:val="671"/>
    <w:rPr>
      <w:rFonts w:ascii="Arial" w:hAnsi="Arial" w:cs="Arial"/>
      <w:lang w:val="ru-RU" w:eastAsia="ru-RU" w:bidi="ar-SA"/>
    </w:rPr>
  </w:style>
  <w:style w:type="character" w:styleId="1119" w:default="1">
    <w:name w:val="Default Paragraph Font"/>
    <w:uiPriority w:val="1"/>
    <w:semiHidden/>
    <w:unhideWhenUsed/>
  </w:style>
  <w:style w:type="numbering" w:styleId="1120" w:default="1">
    <w:name w:val="No List"/>
    <w:uiPriority w:val="99"/>
    <w:semiHidden/>
    <w:unhideWhenUsed/>
  </w:style>
  <w:style w:type="table" w:styleId="11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Relationship Id="rId12" Type="http://schemas.openxmlformats.org/officeDocument/2006/relationships/image" Target="media/image2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администрация района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econom1</dc:creator>
  <cp:revision>100</cp:revision>
  <dcterms:created xsi:type="dcterms:W3CDTF">2017-04-20T08:42:00Z</dcterms:created>
  <dcterms:modified xsi:type="dcterms:W3CDTF">2026-07-31T08:47:22Z</dcterms:modified>
  <cp:version>786432</cp:version>
</cp:coreProperties>
</file>